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CF0B5" w14:textId="11887785" w:rsidR="00B838C5" w:rsidRDefault="001F7699">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w:drawing>
          <wp:anchor distT="0" distB="0" distL="114300" distR="114300" simplePos="0" relativeHeight="251655680" behindDoc="0" locked="0" layoutInCell="1" allowOverlap="1" wp14:anchorId="2C74446D" wp14:editId="485F8BBD">
            <wp:simplePos x="0" y="0"/>
            <wp:positionH relativeFrom="column">
              <wp:posOffset>1892300</wp:posOffset>
            </wp:positionH>
            <wp:positionV relativeFrom="paragraph">
              <wp:posOffset>619125</wp:posOffset>
            </wp:positionV>
            <wp:extent cx="7199630" cy="4000500"/>
            <wp:effectExtent l="0" t="0" r="0" b="0"/>
            <wp:wrapNone/>
            <wp:docPr id="31047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282" name="Picture 1"/>
                    <pic:cNvPicPr/>
                  </pic:nvPicPr>
                  <pic:blipFill rotWithShape="1">
                    <a:blip r:embed="rId7" cstate="print">
                      <a:extLst>
                        <a:ext uri="{28A0092B-C50C-407E-A947-70E740481C1C}">
                          <a14:useLocalDpi xmlns:a14="http://schemas.microsoft.com/office/drawing/2010/main" val="0"/>
                        </a:ext>
                      </a:extLst>
                    </a:blip>
                    <a:srcRect l="10750" t="10448" r="8853" b="22538"/>
                    <a:stretch/>
                  </pic:blipFill>
                  <pic:spPr bwMode="auto">
                    <a:xfrm>
                      <a:off x="0" y="0"/>
                      <a:ext cx="7199630" cy="4000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142311FA" wp14:editId="3B5DE961">
            <wp:simplePos x="0" y="0"/>
            <wp:positionH relativeFrom="column">
              <wp:posOffset>6351905</wp:posOffset>
            </wp:positionH>
            <wp:positionV relativeFrom="paragraph">
              <wp:posOffset>28575</wp:posOffset>
            </wp:positionV>
            <wp:extent cx="2743200" cy="545465"/>
            <wp:effectExtent l="0" t="0" r="0" b="6985"/>
            <wp:wrapNone/>
            <wp:docPr id="2" name="image1.png" descr="A blue background with white text&#10;&#10;Description automatically generated">
              <a:hlinkClick xmlns:a="http://schemas.openxmlformats.org/drawingml/2006/main" r:id="rId8"/>
              <a:extLst xmlns:a="http://schemas.openxmlformats.org/drawingml/2006/main">
                <a:ext uri="{FF2B5EF4-FFF2-40B4-BE49-F238E27FC236}">
                  <a16:creationId xmlns:a16="http://schemas.microsoft.com/office/drawing/2014/main" id="{6F5BFC0F-DD84-78A2-9AE8-682B5C62E4E7}"/>
                </a:ext>
              </a:extLst>
            </wp:docPr>
            <wp:cNvGraphicFramePr/>
            <a:graphic xmlns:a="http://schemas.openxmlformats.org/drawingml/2006/main">
              <a:graphicData uri="http://schemas.openxmlformats.org/drawingml/2006/picture">
                <pic:pic xmlns:pic="http://schemas.openxmlformats.org/drawingml/2006/picture">
                  <pic:nvPicPr>
                    <pic:cNvPr id="2" name="image1.png" descr="A blue background with white text&#10;&#10;Description automatically generated">
                      <a:hlinkClick r:id="rId8"/>
                      <a:extLst>
                        <a:ext uri="{FF2B5EF4-FFF2-40B4-BE49-F238E27FC236}">
                          <a16:creationId xmlns:a16="http://schemas.microsoft.com/office/drawing/2014/main" id="{6F5BFC0F-DD84-78A2-9AE8-682B5C62E4E7}"/>
                        </a:ext>
                      </a:extLst>
                    </pic:cNvPr>
                    <pic:cNvPicPr preferRelativeResize="0"/>
                  </pic:nvPicPr>
                  <pic:blipFill>
                    <a:blip r:embed="rId9">
                      <a:extLst>
                        <a:ext uri="{28A0092B-C50C-407E-A947-70E740481C1C}">
                          <a14:useLocalDpi xmlns:a14="http://schemas.microsoft.com/office/drawing/2010/main" val="0"/>
                        </a:ext>
                      </a:extLst>
                    </a:blip>
                    <a:srcRect/>
                    <a:stretch/>
                  </pic:blipFill>
                  <pic:spPr>
                    <a:xfrm>
                      <a:off x="0" y="0"/>
                      <a:ext cx="2743200" cy="545465"/>
                    </a:xfrm>
                    <a:prstGeom prst="rect">
                      <a:avLst/>
                    </a:prstGeom>
                    <a:noFill/>
                  </pic:spPr>
                </pic:pic>
              </a:graphicData>
            </a:graphic>
            <wp14:sizeRelH relativeFrom="page">
              <wp14:pctWidth>0</wp14:pctWidth>
            </wp14:sizeRelH>
            <wp14:sizeRelV relativeFrom="page">
              <wp14:pctHeight>0</wp14:pctHeight>
            </wp14:sizeRelV>
          </wp:anchor>
        </w:drawing>
      </w:r>
      <w:r w:rsidR="00796115">
        <w:rPr>
          <w:rFonts w:ascii="Century Gothic" w:hAnsi="Century Gothic"/>
          <w:b/>
          <w:color w:val="595959" w:themeColor="text1" w:themeTint="A6"/>
          <w:sz w:val="44"/>
        </w:rPr>
        <w:t xml:space="preserve">Beispielvorlage für die </w:t>
      </w:r>
      <w:r>
        <w:rPr>
          <w:rFonts w:ascii="Century Gothic" w:hAnsi="Century Gothic"/>
          <w:b/>
          <w:color w:val="595959" w:themeColor="text1" w:themeTint="A6"/>
          <w:sz w:val="44"/>
        </w:rPr>
        <w:br/>
      </w:r>
      <w:r w:rsidR="00796115">
        <w:rPr>
          <w:rFonts w:ascii="Century Gothic" w:hAnsi="Century Gothic"/>
          <w:b/>
          <w:color w:val="595959" w:themeColor="text1" w:themeTint="A6"/>
          <w:sz w:val="44"/>
        </w:rPr>
        <w:t>grundlegende Strategieplanung</w:t>
      </w:r>
    </w:p>
    <w:p w14:paraId="2800B682" w14:textId="3AA6CF9F" w:rsidR="001F7699" w:rsidRDefault="001F7699">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8992" behindDoc="0" locked="0" layoutInCell="1" allowOverlap="1" wp14:anchorId="334D4E43" wp14:editId="2C8935A6">
                <wp:simplePos x="0" y="0"/>
                <wp:positionH relativeFrom="column">
                  <wp:posOffset>-85725</wp:posOffset>
                </wp:positionH>
                <wp:positionV relativeFrom="paragraph">
                  <wp:posOffset>266700</wp:posOffset>
                </wp:positionV>
                <wp:extent cx="4886325" cy="3524250"/>
                <wp:effectExtent l="0" t="0" r="0" b="0"/>
                <wp:wrapNone/>
                <wp:docPr id="1356065857" name="Text Box 2"/>
                <wp:cNvGraphicFramePr/>
                <a:graphic xmlns:a="http://schemas.openxmlformats.org/drawingml/2006/main">
                  <a:graphicData uri="http://schemas.microsoft.com/office/word/2010/wordprocessingShape">
                    <wps:wsp>
                      <wps:cNvSpPr txBox="1"/>
                      <wps:spPr>
                        <a:xfrm>
                          <a:off x="0" y="0"/>
                          <a:ext cx="4886325" cy="3524250"/>
                        </a:xfrm>
                        <a:prstGeom prst="rect">
                          <a:avLst/>
                        </a:prstGeom>
                        <a:noFill/>
                        <a:ln w="6350">
                          <a:noFill/>
                        </a:ln>
                      </wps:spPr>
                      <wps:txbx>
                        <w:txbxContent>
                          <w:p w14:paraId="6498E77A" w14:textId="15B7CF30" w:rsidR="00960644" w:rsidRPr="007A4076" w:rsidRDefault="00FB5F87">
                            <w:pPr>
                              <w:rPr>
                                <w:rFonts w:ascii="Century Gothic" w:hAnsi="Century Gothic"/>
                                <w:b/>
                                <w:bCs/>
                                <w:color w:val="5B9BD5" w:themeColor="accent5"/>
                                <w:sz w:val="44"/>
                                <w:szCs w:val="44"/>
                              </w:rPr>
                            </w:pPr>
                            <w:r>
                              <w:rPr>
                                <w:rFonts w:ascii="Century Gothic" w:hAnsi="Century Gothic"/>
                                <w:color w:val="5B9BD5" w:themeColor="accent5"/>
                                <w:sz w:val="44"/>
                              </w:rPr>
                              <w:t>Dieser Strategieplan für Positive Charge bietet eine Roadmap für die Verwirklichung der Unternehmensvision, durch Innovation, strategische Expansion und Fokus auf die Bedürfnisse der Kund*innen zu einem führenden Anbieter in der EV-Ladebranche zu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D4E43" id="_x0000_t202" coordsize="21600,21600" o:spt="202" path="m,l,21600r21600,l21600,xe">
                <v:stroke joinstyle="miter"/>
                <v:path gradientshapeok="t" o:connecttype="rect"/>
              </v:shapetype>
              <v:shape id="Text Box 2" o:spid="_x0000_s1026" type="#_x0000_t202" style="position:absolute;margin-left:-6.75pt;margin-top:21pt;width:384.75pt;height:2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" filled="f" stroked="f" strokeweight=".5pt">
                <v:textbox>
                  <w:txbxContent>
                    <w:p w14:paraId="6498E77A" w14:textId="15B7CF30" w:rsidR="00960644" w:rsidRPr="007A4076" w:rsidRDefault="00FB5F87">
                      <w:pPr>
                        <w:rPr>
                          <w:rFonts w:ascii="Century Gothic" w:hAnsi="Century Gothic"/>
                          <w:b/>
                          <w:bCs/>
                          <w:color w:val="5B9BD5" w:themeColor="accent5"/>
                          <w:sz w:val="44"/>
                          <w:szCs w:val="44"/>
                        </w:rPr>
                      </w:pPr>
                      <w:r>
                        <w:rPr>
                          <w:rFonts w:ascii="Century Gothic" w:hAnsi="Century Gothic"/>
                          <w:color w:val="5B9BD5" w:themeColor="accent5"/>
                          <w:sz w:val="44"/>
                        </w:rPr>
                        <w:t>Dieser Strategieplan für Positive Charge bietet eine Roadmap für die Verwirklichung der Unternehmensvision, durch Innovation, strategische Expansion und Fokus auf die Bedürfnisse der Kund*innen zu einem führenden Anbieter in der EV-Ladebranche zu werden.</w:t>
                      </w:r>
                    </w:p>
                  </w:txbxContent>
                </v:textbox>
              </v:shape>
            </w:pict>
          </mc:Fallback>
        </mc:AlternateContent>
      </w:r>
    </w:p>
    <w:p w14:paraId="069A9DF4" w14:textId="43C3692E" w:rsidR="00890011" w:rsidRDefault="00890011">
      <w:pPr>
        <w:rPr>
          <w:rFonts w:ascii="Century Gothic" w:hAnsi="Century Gothic"/>
          <w:b/>
          <w:bCs/>
          <w:color w:val="595959" w:themeColor="text1" w:themeTint="A6"/>
          <w:sz w:val="44"/>
          <w:szCs w:val="44"/>
        </w:rPr>
      </w:pPr>
    </w:p>
    <w:p w14:paraId="29848394" w14:textId="65F835F3" w:rsidR="00856B1D" w:rsidRDefault="00856B1D">
      <w:pPr>
        <w:rPr>
          <w:rFonts w:ascii="Century Gothic" w:hAnsi="Century Gothic"/>
          <w:b/>
          <w:bCs/>
          <w:color w:val="595959" w:themeColor="text1" w:themeTint="A6"/>
          <w:sz w:val="44"/>
          <w:szCs w:val="44"/>
        </w:rPr>
      </w:pPr>
    </w:p>
    <w:p w14:paraId="51A9F482" w14:textId="7DE97801" w:rsidR="00856B1D" w:rsidRDefault="00856B1D">
      <w:pPr>
        <w:rPr>
          <w:rFonts w:ascii="Century Gothic" w:hAnsi="Century Gothic"/>
          <w:b/>
          <w:bCs/>
          <w:color w:val="595959" w:themeColor="text1" w:themeTint="A6"/>
          <w:sz w:val="44"/>
          <w:szCs w:val="44"/>
        </w:rPr>
      </w:pPr>
    </w:p>
    <w:p w14:paraId="185A0CDC" w14:textId="444AB325" w:rsidR="009C2AF2" w:rsidRDefault="009C2AF2">
      <w:pPr>
        <w:rPr>
          <w:rFonts w:ascii="Century Gothic" w:hAnsi="Century Gothic"/>
          <w:b/>
          <w:bCs/>
          <w:color w:val="595959" w:themeColor="text1" w:themeTint="A6"/>
          <w:sz w:val="44"/>
          <w:szCs w:val="44"/>
        </w:rPr>
      </w:pPr>
    </w:p>
    <w:p w14:paraId="52735C66" w14:textId="77777777" w:rsidR="009C2AF2" w:rsidRDefault="009C2AF2">
      <w:pPr>
        <w:rPr>
          <w:rFonts w:ascii="Century Gothic" w:hAnsi="Century Gothic"/>
          <w:b/>
          <w:bCs/>
          <w:color w:val="595959" w:themeColor="text1" w:themeTint="A6"/>
          <w:sz w:val="44"/>
          <w:szCs w:val="44"/>
        </w:rPr>
      </w:pPr>
    </w:p>
    <w:p w14:paraId="2C5A5FB8" w14:textId="77777777" w:rsidR="009C2AF2" w:rsidRDefault="009C2AF2">
      <w:pPr>
        <w:rPr>
          <w:rFonts w:ascii="Century Gothic" w:hAnsi="Century Gothic"/>
          <w:b/>
          <w:bCs/>
          <w:color w:val="595959" w:themeColor="text1" w:themeTint="A6"/>
          <w:sz w:val="44"/>
          <w:szCs w:val="44"/>
        </w:rPr>
      </w:pPr>
    </w:p>
    <w:p w14:paraId="63215353" w14:textId="77777777" w:rsidR="009C2AF2" w:rsidRDefault="009C2AF2">
      <w:pPr>
        <w:rPr>
          <w:rFonts w:ascii="Century Gothic" w:hAnsi="Century Gothic"/>
          <w:b/>
          <w:bCs/>
          <w:color w:val="595959" w:themeColor="text1" w:themeTint="A6"/>
          <w:sz w:val="44"/>
          <w:szCs w:val="44"/>
        </w:rPr>
      </w:pPr>
    </w:p>
    <w:p w14:paraId="69DAC67D" w14:textId="77777777" w:rsidR="00856B1D" w:rsidRPr="001F7699" w:rsidRDefault="00856B1D">
      <w:pPr>
        <w:rPr>
          <w:rFonts w:ascii="Century Gothic" w:hAnsi="Century Gothic"/>
          <w:b/>
          <w:bCs/>
          <w:color w:val="595959" w:themeColor="text1" w:themeTint="A6"/>
          <w:sz w:val="8"/>
          <w:szCs w:val="8"/>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95"/>
        <w:gridCol w:w="7195"/>
      </w:tblGrid>
      <w:tr w:rsidR="00B838C5" w14:paraId="4D406BAE" w14:textId="77777777" w:rsidTr="000F173D">
        <w:trPr>
          <w:trHeight w:val="1008"/>
        </w:trPr>
        <w:tc>
          <w:tcPr>
            <w:tcW w:w="7195" w:type="dxa"/>
            <w:shd w:val="clear" w:color="auto" w:fill="F2F2F2" w:themeFill="background1" w:themeFillShade="F2"/>
            <w:vAlign w:val="center"/>
          </w:tcPr>
          <w:p w14:paraId="264E375E" w14:textId="004EA2A7" w:rsidR="00B838C5" w:rsidRPr="00856B1D" w:rsidRDefault="009C2AF2" w:rsidP="007A4076">
            <w:pPr>
              <w:jc w:val="right"/>
              <w:rPr>
                <w:rFonts w:ascii="Century Gothic" w:hAnsi="Century Gothic"/>
              </w:rPr>
            </w:pPr>
            <w:r>
              <w:rPr>
                <w:rFonts w:ascii="Century Gothic" w:hAnsi="Century Gothic"/>
              </w:rPr>
              <w:t>NAME DES UNTERNEHMENS</w:t>
            </w:r>
          </w:p>
        </w:tc>
        <w:tc>
          <w:tcPr>
            <w:tcW w:w="7195" w:type="dxa"/>
            <w:vAlign w:val="center"/>
          </w:tcPr>
          <w:p w14:paraId="21AEE2D3" w14:textId="66BCC7DE" w:rsidR="00B838C5" w:rsidRPr="00856B1D" w:rsidRDefault="00F462A7">
            <w:pPr>
              <w:rPr>
                <w:rFonts w:ascii="Century Gothic" w:hAnsi="Century Gothic"/>
              </w:rPr>
            </w:pPr>
            <w:r>
              <w:rPr>
                <w:rFonts w:ascii="Century Gothic" w:hAnsi="Century Gothic"/>
              </w:rPr>
              <w:t>Positive Charge</w:t>
            </w:r>
          </w:p>
        </w:tc>
      </w:tr>
      <w:tr w:rsidR="00B838C5" w14:paraId="44523F07" w14:textId="77777777" w:rsidTr="000F173D">
        <w:trPr>
          <w:trHeight w:val="1008"/>
        </w:trPr>
        <w:tc>
          <w:tcPr>
            <w:tcW w:w="7195" w:type="dxa"/>
            <w:shd w:val="clear" w:color="auto" w:fill="F2F2F2" w:themeFill="background1" w:themeFillShade="F2"/>
            <w:vAlign w:val="center"/>
          </w:tcPr>
          <w:p w14:paraId="3B6FC070" w14:textId="2C62029B" w:rsidR="00B838C5" w:rsidRPr="00856B1D" w:rsidRDefault="009C2AF2" w:rsidP="007A4076">
            <w:pPr>
              <w:jc w:val="right"/>
              <w:rPr>
                <w:rFonts w:ascii="Century Gothic" w:hAnsi="Century Gothic"/>
              </w:rPr>
            </w:pPr>
            <w:r>
              <w:rPr>
                <w:rFonts w:ascii="Century Gothic" w:hAnsi="Century Gothic"/>
              </w:rPr>
              <w:t>STRATEGIEPLAN ERSTELLT VON</w:t>
            </w:r>
          </w:p>
        </w:tc>
        <w:tc>
          <w:tcPr>
            <w:tcW w:w="7195" w:type="dxa"/>
            <w:vAlign w:val="center"/>
          </w:tcPr>
          <w:p w14:paraId="49365471" w14:textId="0576B6E0" w:rsidR="00B838C5" w:rsidRPr="00856B1D" w:rsidRDefault="00F462A7">
            <w:pPr>
              <w:rPr>
                <w:rFonts w:ascii="Century Gothic" w:hAnsi="Century Gothic"/>
              </w:rPr>
            </w:pPr>
            <w:r>
              <w:rPr>
                <w:rFonts w:ascii="Century Gothic" w:hAnsi="Century Gothic"/>
              </w:rPr>
              <w:t>Lori Garcia</w:t>
            </w:r>
          </w:p>
        </w:tc>
      </w:tr>
      <w:tr w:rsidR="00B838C5" w14:paraId="25A0E68B" w14:textId="77777777" w:rsidTr="000F173D">
        <w:trPr>
          <w:trHeight w:val="1008"/>
        </w:trPr>
        <w:tc>
          <w:tcPr>
            <w:tcW w:w="7195" w:type="dxa"/>
            <w:shd w:val="clear" w:color="auto" w:fill="F2F2F2" w:themeFill="background1" w:themeFillShade="F2"/>
            <w:vAlign w:val="center"/>
          </w:tcPr>
          <w:p w14:paraId="2248D06D" w14:textId="11F39E12" w:rsidR="00B838C5" w:rsidRPr="00856B1D" w:rsidRDefault="009C2AF2" w:rsidP="007A4076">
            <w:pPr>
              <w:jc w:val="right"/>
              <w:rPr>
                <w:rFonts w:ascii="Century Gothic" w:hAnsi="Century Gothic"/>
              </w:rPr>
            </w:pPr>
            <w:r>
              <w:rPr>
                <w:rFonts w:ascii="Century Gothic" w:hAnsi="Century Gothic"/>
              </w:rPr>
              <w:t>DATUM</w:t>
            </w:r>
          </w:p>
        </w:tc>
        <w:tc>
          <w:tcPr>
            <w:tcW w:w="7195" w:type="dxa"/>
            <w:vAlign w:val="center"/>
          </w:tcPr>
          <w:p w14:paraId="5E70BA1E" w14:textId="66A6DFE8" w:rsidR="00B838C5" w:rsidRPr="00856B1D" w:rsidRDefault="00F462A7">
            <w:pPr>
              <w:rPr>
                <w:rFonts w:ascii="Century Gothic" w:hAnsi="Century Gothic"/>
              </w:rPr>
            </w:pPr>
            <w:r>
              <w:rPr>
                <w:rFonts w:ascii="Century Gothic" w:hAnsi="Century Gothic"/>
              </w:rPr>
              <w:t>TT.MM.JJ</w:t>
            </w:r>
          </w:p>
        </w:tc>
      </w:tr>
    </w:tbl>
    <w:tbl>
      <w:tblPr>
        <w:tblW w:w="14456" w:type="dxa"/>
        <w:tblLook w:val="04A0" w:firstRow="1" w:lastRow="0" w:firstColumn="1" w:lastColumn="0" w:noHBand="0" w:noVBand="1"/>
      </w:tblPr>
      <w:tblGrid>
        <w:gridCol w:w="3865"/>
        <w:gridCol w:w="10591"/>
      </w:tblGrid>
      <w:tr w:rsidR="007D257E" w:rsidRPr="007D257E" w14:paraId="4715C1F7" w14:textId="77777777" w:rsidTr="00D6598F">
        <w:trPr>
          <w:trHeight w:val="1296"/>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hideMark/>
          </w:tcPr>
          <w:p w14:paraId="1551FA34" w14:textId="36FEEF5B" w:rsidR="007D257E"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lastRenderedPageBreak/>
              <w:t>ZUSAMMENFASSUNG</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4F85D08" w14:textId="7E6EA9A8" w:rsidR="007D257E" w:rsidRPr="00D1464D" w:rsidRDefault="00036E51" w:rsidP="00B838C5">
            <w:pPr>
              <w:spacing w:after="0" w:line="240" w:lineRule="auto"/>
              <w:rPr>
                <w:rFonts w:ascii="Century Gothic" w:hAnsi="Century Gothic"/>
                <w:sz w:val="20"/>
                <w:szCs w:val="20"/>
              </w:rPr>
            </w:pPr>
            <w:r>
              <w:rPr>
                <w:rFonts w:ascii="Century Gothic" w:hAnsi="Century Gothic"/>
                <w:sz w:val="20"/>
              </w:rPr>
              <w:t xml:space="preserve">Positive Charge hat sich zum Ziel gesetzt, ein führendes Unternehmen in der Ladebranche für Elektrofahrzeuge (EV) zu werden, indem es innovative, zuverlässige und zugängliche Ladelösungen für </w:t>
            </w:r>
            <w:r w:rsidR="00D6598F">
              <w:rPr>
                <w:rFonts w:ascii="Century Gothic" w:hAnsi="Century Gothic"/>
                <w:sz w:val="20"/>
              </w:rPr>
              <w:br/>
            </w:r>
            <w:r>
              <w:rPr>
                <w:rFonts w:ascii="Century Gothic" w:hAnsi="Century Gothic"/>
                <w:sz w:val="20"/>
              </w:rPr>
              <w:t>EV-Besitzer*innen und Unternehmen anbietet. Unser strategischer Plan beschreibt die Schritte zum Ausbau unseres Netzwerks, zur Verbesserung unserer Technologie und zum Ausbau unserer Marktpräsenz in den nächsten fünf Jahren.</w:t>
            </w:r>
          </w:p>
        </w:tc>
      </w:tr>
      <w:tr w:rsidR="00F840C3" w:rsidRPr="007D257E" w14:paraId="7D46D7E0" w14:textId="77777777" w:rsidTr="00D6598F">
        <w:trPr>
          <w:trHeight w:val="72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7C6F3671" w14:textId="15CFB1B9"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VISION STATEMENT</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51888443" w14:textId="46C268BA" w:rsidR="00F840C3" w:rsidRPr="007E2D98" w:rsidRDefault="00036E51" w:rsidP="00B838C5">
            <w:pPr>
              <w:spacing w:after="0" w:line="240" w:lineRule="auto"/>
              <w:rPr>
                <w:rFonts w:ascii="Century Gothic" w:hAnsi="Century Gothic"/>
                <w:sz w:val="20"/>
                <w:szCs w:val="20"/>
              </w:rPr>
            </w:pPr>
            <w:r>
              <w:rPr>
                <w:rFonts w:ascii="Century Gothic" w:hAnsi="Century Gothic"/>
                <w:sz w:val="20"/>
              </w:rPr>
              <w:t>Das EV-Ladeerlebnis zu revolutionieren und so alltäglich und benutzungsfreundlich zu machen wie eine klassische Tankstelle, um die globale Umstellung zu nachhaltigem Transport zu beschleunigen.</w:t>
            </w:r>
          </w:p>
        </w:tc>
      </w:tr>
      <w:tr w:rsidR="00B838C5" w:rsidRPr="007D257E" w14:paraId="7981F819" w14:textId="77777777" w:rsidTr="00D6598F">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BA7184E" w14:textId="6359A8B4"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MISSION STATEMENT</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45C71AE" w14:textId="54CD1055" w:rsidR="00B838C5" w:rsidRPr="007E2D98" w:rsidRDefault="00036E51" w:rsidP="00B838C5">
            <w:pPr>
              <w:spacing w:after="0" w:line="240" w:lineRule="auto"/>
              <w:rPr>
                <w:rFonts w:ascii="Century Gothic" w:hAnsi="Century Gothic"/>
                <w:sz w:val="20"/>
                <w:szCs w:val="20"/>
              </w:rPr>
            </w:pPr>
            <w:r>
              <w:rPr>
                <w:rFonts w:ascii="Century Gothic" w:hAnsi="Century Gothic"/>
                <w:sz w:val="20"/>
              </w:rPr>
              <w:t>Positive Charge hat es sich zur Aufgabe gemacht, Besitzer*innen von Elektrofahrzeugen schnelle, effiziente und allgegenwärtige Ladelösungen bereitzustellen und durch Innovationen, kundenorientierte Dienstleistungen und strategische Partnerschaften das Wachstum der Elektromobilität zu fördern.</w:t>
            </w:r>
          </w:p>
        </w:tc>
      </w:tr>
      <w:tr w:rsidR="00B838C5" w:rsidRPr="007D257E" w14:paraId="35C53379" w14:textId="77777777" w:rsidTr="001F7699">
        <w:trPr>
          <w:trHeight w:val="206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20082096" w14:textId="38452DCC" w:rsidR="00B838C5"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SWOT-ANALYSE</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7ABDB67" w14:textId="212BF326"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Stärken: Fortschrittliche Ladetechnologie, starke Partnerschaften mit EV-Herstellern und die strategischen Standorte der Ladestationen.</w:t>
            </w:r>
          </w:p>
          <w:p w14:paraId="070CBAAA" w14:textId="77777777"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Schwächen: Hohe anfängliche Infrastrukturkosten und Konkurrenz durch etablierte Tank- und Ladenetze.</w:t>
            </w:r>
          </w:p>
          <w:p w14:paraId="0E61C0BC" w14:textId="293CBA87"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Chancen: Die wachsende Nachfrage nach Elektrofahrzeugen, staatliche Anreize für erneuerbare Energien und das Potenzial für die internationale Expansion.</w:t>
            </w:r>
          </w:p>
          <w:p w14:paraId="72D6CEB7" w14:textId="572BAFE2" w:rsidR="00B838C5"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Risiken: Technologische Fortschritte durch Wettbewerber und Änderungen des regulatorischen Umfelds.</w:t>
            </w:r>
          </w:p>
        </w:tc>
      </w:tr>
      <w:tr w:rsidR="00F840C3" w:rsidRPr="007D257E" w14:paraId="60FD341C" w14:textId="77777777" w:rsidTr="00D6598F">
        <w:trPr>
          <w:trHeight w:val="108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6A31E36D" w14:textId="339EEFA6" w:rsidR="00F840C3" w:rsidRPr="00694E25" w:rsidRDefault="007A4076"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UNTERNEHMENSZIELE</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33E1A60" w14:textId="7A984AB1" w:rsidR="00333D6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Kurzfristig (1–2 Jahre): Anzahl der Ladestationen um 50 % erhöhen und zwei neue strategische Partnerschaften sichern.</w:t>
            </w:r>
          </w:p>
          <w:p w14:paraId="16EEC4B6" w14:textId="39B12FEC" w:rsidR="00F840C3" w:rsidRPr="00333D63" w:rsidRDefault="00333D63" w:rsidP="00333D63">
            <w:pPr>
              <w:pStyle w:val="ListParagraph"/>
              <w:numPr>
                <w:ilvl w:val="0"/>
                <w:numId w:val="15"/>
              </w:numPr>
              <w:spacing w:after="0" w:line="240" w:lineRule="auto"/>
              <w:rPr>
                <w:rFonts w:ascii="Century Gothic" w:hAnsi="Century Gothic"/>
                <w:sz w:val="20"/>
                <w:szCs w:val="20"/>
              </w:rPr>
            </w:pPr>
            <w:r>
              <w:rPr>
                <w:rFonts w:ascii="Century Gothic" w:hAnsi="Century Gothic"/>
                <w:sz w:val="20"/>
              </w:rPr>
              <w:t>Langfristig (3–5 Jahre): Einen Marktanteil von 25 % in der EV-Ladebranche erzielen und die Geschäftstätigkeit auf drei neue Länder ausweiten.</w:t>
            </w:r>
          </w:p>
        </w:tc>
      </w:tr>
      <w:tr w:rsidR="00B838C5" w:rsidRPr="007D257E" w14:paraId="06645FFA" w14:textId="77777777" w:rsidTr="00D6598F">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08E6D25F" w14:textId="605A2226"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MARKETINGPLAN</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1A213113" w14:textId="242BA9FA" w:rsidR="00B838C5" w:rsidRPr="007E2D98" w:rsidRDefault="00D1020F" w:rsidP="00B838C5">
            <w:pPr>
              <w:spacing w:after="0" w:line="240" w:lineRule="auto"/>
              <w:rPr>
                <w:rFonts w:ascii="Century Gothic" w:hAnsi="Century Gothic"/>
                <w:sz w:val="20"/>
                <w:szCs w:val="20"/>
              </w:rPr>
            </w:pPr>
            <w:r>
              <w:rPr>
                <w:rFonts w:ascii="Century Gothic" w:hAnsi="Century Gothic"/>
                <w:sz w:val="20"/>
              </w:rPr>
              <w:t xml:space="preserve">Implementieren einer </w:t>
            </w:r>
            <w:proofErr w:type="spellStart"/>
            <w:r>
              <w:rPr>
                <w:rFonts w:ascii="Century Gothic" w:hAnsi="Century Gothic"/>
                <w:sz w:val="20"/>
              </w:rPr>
              <w:t>Multichannel</w:t>
            </w:r>
            <w:proofErr w:type="spellEnd"/>
            <w:r>
              <w:rPr>
                <w:rFonts w:ascii="Century Gothic" w:hAnsi="Century Gothic"/>
                <w:sz w:val="20"/>
              </w:rPr>
              <w:t>-Marketingstrategie, die sich auf digitales Marketing, Partnerschaften mit EV-Herstellern und die Teilnahme an Messen für grüne Energie konzentriert, um die Markenbekanntheit und die Kundenbindung zu steigern.</w:t>
            </w:r>
          </w:p>
        </w:tc>
      </w:tr>
      <w:tr w:rsidR="00F840C3" w:rsidRPr="007D257E" w14:paraId="454B8795" w14:textId="77777777" w:rsidTr="00D6598F">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59F52135" w14:textId="2C0DF016" w:rsidR="00F840C3"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BETRIEBSKONZEPT</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07E0E5" w14:textId="5805DE2E" w:rsidR="00F840C3" w:rsidRPr="007E2D98" w:rsidRDefault="00D1020F" w:rsidP="00B838C5">
            <w:pPr>
              <w:spacing w:after="0" w:line="240" w:lineRule="auto"/>
              <w:rPr>
                <w:rFonts w:ascii="Century Gothic" w:hAnsi="Century Gothic"/>
                <w:sz w:val="20"/>
                <w:szCs w:val="20"/>
              </w:rPr>
            </w:pPr>
            <w:r>
              <w:rPr>
                <w:rFonts w:ascii="Century Gothic" w:hAnsi="Century Gothic"/>
                <w:sz w:val="20"/>
              </w:rPr>
              <w:t>Skalieren des Infrastrukturausbaus durch Investition in Ladetechnologien der nächsten Generation und Optimierung der Logistik, um die effiziente Bereitstellung und Wartung von Ladestationen zu gewährleisten.</w:t>
            </w:r>
          </w:p>
        </w:tc>
      </w:tr>
      <w:tr w:rsidR="00B838C5" w:rsidRPr="007D257E" w14:paraId="5EFEA7F9" w14:textId="77777777" w:rsidTr="00D6598F">
        <w:trPr>
          <w:trHeight w:val="1008"/>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DD6EE" w:themeFill="accent5" w:themeFillTint="66"/>
            <w:vAlign w:val="center"/>
          </w:tcPr>
          <w:p w14:paraId="6D6C37FD" w14:textId="2A67404E"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FINANZPROGNOSEN</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63557C38" w14:textId="77777777" w:rsidR="00D1020F" w:rsidRPr="00D1020F" w:rsidRDefault="00D1020F" w:rsidP="00D1020F">
            <w:pPr>
              <w:spacing w:after="0" w:line="240" w:lineRule="auto"/>
              <w:rPr>
                <w:rFonts w:ascii="Century Gothic" w:hAnsi="Century Gothic"/>
                <w:sz w:val="20"/>
                <w:szCs w:val="20"/>
              </w:rPr>
            </w:pPr>
            <w:r>
              <w:rPr>
                <w:rFonts w:ascii="Century Gothic" w:hAnsi="Century Gothic"/>
                <w:sz w:val="20"/>
              </w:rPr>
              <w:t>Jahr 1: Umsatz von 5 Millionen Euro mit einem Nettoverlust von 1 Million Euro aufgrund von Anfangsinvestitionen.</w:t>
            </w:r>
          </w:p>
          <w:p w14:paraId="618B5F63" w14:textId="77777777" w:rsidR="00D1020F" w:rsidRPr="00D1020F" w:rsidRDefault="00D1020F" w:rsidP="00D1020F">
            <w:pPr>
              <w:spacing w:after="0" w:line="240" w:lineRule="auto"/>
              <w:rPr>
                <w:rFonts w:ascii="Century Gothic" w:hAnsi="Century Gothic"/>
                <w:sz w:val="20"/>
                <w:szCs w:val="20"/>
              </w:rPr>
            </w:pPr>
            <w:r>
              <w:rPr>
                <w:rFonts w:ascii="Century Gothic" w:hAnsi="Century Gothic"/>
                <w:sz w:val="20"/>
              </w:rPr>
              <w:t>Jahr 2: Umsatz von 10 Millionen Euro bei einem Nettogewinn von 1 Million Euro.</w:t>
            </w:r>
          </w:p>
          <w:p w14:paraId="6BACCB43" w14:textId="3AD73A26" w:rsidR="00B838C5" w:rsidRPr="007E2D98" w:rsidRDefault="00D1020F" w:rsidP="00D1020F">
            <w:pPr>
              <w:spacing w:after="0" w:line="240" w:lineRule="auto"/>
              <w:rPr>
                <w:rFonts w:ascii="Century Gothic" w:hAnsi="Century Gothic"/>
                <w:sz w:val="20"/>
                <w:szCs w:val="20"/>
              </w:rPr>
            </w:pPr>
            <w:r>
              <w:rPr>
                <w:rFonts w:ascii="Century Gothic" w:hAnsi="Century Gothic"/>
                <w:sz w:val="20"/>
              </w:rPr>
              <w:t>Jahr 3–5: Umsatzwachstum von 30 % gegenüber dem Vorjahr bei einer Nettogewinnmarge von 15 %.</w:t>
            </w:r>
          </w:p>
        </w:tc>
      </w:tr>
      <w:tr w:rsidR="00B838C5" w:rsidRPr="007D257E" w14:paraId="63E12318" w14:textId="77777777" w:rsidTr="001F7699">
        <w:trPr>
          <w:trHeight w:val="1430"/>
        </w:trPr>
        <w:tc>
          <w:tcPr>
            <w:tcW w:w="38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EEAF6" w:themeFill="accent5" w:themeFillTint="33"/>
            <w:vAlign w:val="center"/>
          </w:tcPr>
          <w:p w14:paraId="760F49E3" w14:textId="28CF0F1B" w:rsidR="00B838C5" w:rsidRPr="00694E25" w:rsidRDefault="00694E25" w:rsidP="007A4076">
            <w:pPr>
              <w:spacing w:after="0" w:line="240" w:lineRule="auto"/>
              <w:rPr>
                <w:rFonts w:ascii="Century Gothic" w:eastAsia="Times New Roman" w:hAnsi="Century Gothic" w:cs="Calibri"/>
                <w:color w:val="595959" w:themeColor="text1" w:themeTint="A6"/>
                <w:kern w:val="0"/>
                <w:sz w:val="28"/>
                <w:szCs w:val="28"/>
                <w14:ligatures w14:val="none"/>
              </w:rPr>
            </w:pPr>
            <w:r>
              <w:rPr>
                <w:rFonts w:ascii="Century Gothic" w:hAnsi="Century Gothic"/>
                <w:color w:val="595959" w:themeColor="text1" w:themeTint="A6"/>
                <w:kern w:val="0"/>
                <w:sz w:val="28"/>
              </w:rPr>
              <w:t>TEAM</w:t>
            </w:r>
          </w:p>
        </w:tc>
        <w:tc>
          <w:tcPr>
            <w:tcW w:w="10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5538AD" w14:textId="29580552" w:rsidR="001F6345" w:rsidRPr="001F6345" w:rsidRDefault="001F6345" w:rsidP="001F6345">
            <w:pPr>
              <w:spacing w:after="0" w:line="240" w:lineRule="auto"/>
              <w:rPr>
                <w:rFonts w:ascii="Century Gothic" w:hAnsi="Century Gothic"/>
                <w:sz w:val="20"/>
                <w:szCs w:val="20"/>
              </w:rPr>
            </w:pPr>
            <w:r>
              <w:rPr>
                <w:rFonts w:ascii="Century Gothic" w:hAnsi="Century Gothic"/>
                <w:sz w:val="20"/>
              </w:rPr>
              <w:t>CEO: Ein*e Expert*in für erneuerbare Energien mit 20 Jahren Erfahrung.</w:t>
            </w:r>
          </w:p>
          <w:p w14:paraId="366C1B64" w14:textId="78344776" w:rsidR="001F6345" w:rsidRPr="001F6345" w:rsidRDefault="001F6345" w:rsidP="001F6345">
            <w:pPr>
              <w:spacing w:after="0" w:line="240" w:lineRule="auto"/>
              <w:rPr>
                <w:rFonts w:ascii="Century Gothic" w:hAnsi="Century Gothic"/>
                <w:sz w:val="20"/>
                <w:szCs w:val="20"/>
              </w:rPr>
            </w:pPr>
            <w:r>
              <w:rPr>
                <w:rFonts w:ascii="Century Gothic" w:hAnsi="Century Gothic"/>
                <w:sz w:val="20"/>
              </w:rPr>
              <w:t>CTO: Ein*e Spezialist*in für EV-Technologie und Infrastrukturentwicklung.</w:t>
            </w:r>
          </w:p>
          <w:p w14:paraId="6C639D4C" w14:textId="6EFD9522" w:rsidR="001F6345" w:rsidRPr="001F6345" w:rsidRDefault="001F6345" w:rsidP="001F6345">
            <w:pPr>
              <w:spacing w:after="0" w:line="240" w:lineRule="auto"/>
              <w:rPr>
                <w:rFonts w:ascii="Century Gothic" w:hAnsi="Century Gothic"/>
                <w:sz w:val="20"/>
                <w:szCs w:val="20"/>
              </w:rPr>
            </w:pPr>
            <w:r>
              <w:rPr>
                <w:rFonts w:ascii="Century Gothic" w:hAnsi="Century Gothic"/>
                <w:sz w:val="20"/>
              </w:rPr>
              <w:t>CFO: Ein*e Expert*in für Finanzen und Investitionen, der/die sich auf grüne Technologien konzentriert.</w:t>
            </w:r>
          </w:p>
          <w:p w14:paraId="4392700B" w14:textId="0528725A" w:rsidR="00B838C5" w:rsidRPr="007E2D98" w:rsidRDefault="001F6345" w:rsidP="001F6345">
            <w:pPr>
              <w:spacing w:after="0" w:line="240" w:lineRule="auto"/>
              <w:rPr>
                <w:rFonts w:ascii="Century Gothic" w:hAnsi="Century Gothic"/>
                <w:sz w:val="20"/>
                <w:szCs w:val="20"/>
              </w:rPr>
            </w:pPr>
            <w:r>
              <w:rPr>
                <w:rFonts w:ascii="Century Gothic" w:hAnsi="Century Gothic"/>
                <w:sz w:val="20"/>
              </w:rPr>
              <w:t>Marketingleitung: Eine erfahrene Führungskraft im digitalen Marketing und Markenaufbau in der Technologiebranche.</w:t>
            </w:r>
          </w:p>
        </w:tc>
      </w:tr>
    </w:tbl>
    <w:tbl>
      <w:tblPr>
        <w:tblStyle w:val="TableGrid"/>
        <w:tblW w:w="14233"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233"/>
      </w:tblGrid>
      <w:tr w:rsidR="00E9555E" w14:paraId="48239CE4" w14:textId="77777777" w:rsidTr="001F7699">
        <w:trPr>
          <w:trHeight w:val="2610"/>
        </w:trPr>
        <w:tc>
          <w:tcPr>
            <w:tcW w:w="14233" w:type="dxa"/>
          </w:tcPr>
          <w:p w14:paraId="2CDC834D" w14:textId="77777777" w:rsidR="00E9555E" w:rsidRPr="00692C04" w:rsidRDefault="00E9555E" w:rsidP="00E20DA8">
            <w:pPr>
              <w:jc w:val="center"/>
              <w:rPr>
                <w:rFonts w:ascii="Century Gothic" w:hAnsi="Century Gothic" w:cs="Arial"/>
                <w:b/>
                <w:sz w:val="20"/>
                <w:szCs w:val="20"/>
              </w:rPr>
            </w:pPr>
            <w:r>
              <w:rPr>
                <w:rFonts w:ascii="Century Gothic" w:hAnsi="Century Gothic"/>
                <w:b/>
                <w:sz w:val="20"/>
              </w:rPr>
              <w:lastRenderedPageBreak/>
              <w:t>HAFTUNGSAUSSCHLUSS</w:t>
            </w:r>
          </w:p>
          <w:p w14:paraId="22A5E04A" w14:textId="77777777" w:rsidR="00E9555E" w:rsidRDefault="00E9555E" w:rsidP="00E20DA8">
            <w:pPr>
              <w:rPr>
                <w:rFonts w:ascii="Century Gothic" w:hAnsi="Century Gothic" w:cs="Arial"/>
                <w:szCs w:val="20"/>
              </w:rPr>
            </w:pPr>
          </w:p>
          <w:p w14:paraId="509A3D04" w14:textId="77777777" w:rsidR="00E9555E" w:rsidRDefault="00E9555E" w:rsidP="001F7699">
            <w:pPr>
              <w:ind w:right="-75"/>
              <w:rPr>
                <w:rFonts w:ascii="Century Gothic" w:hAnsi="Century Gothic" w:cs="Arial"/>
                <w:sz w:val="20"/>
                <w:szCs w:val="20"/>
              </w:rPr>
            </w:pPr>
            <w:r>
              <w:rPr>
                <w:rFonts w:ascii="Century Gothic" w:hAnsi="Century Gothic"/>
              </w:rPr>
              <w:t xml:space="preserve">Alle von Smartsheet auf der Website aufgeführten Artikel, Vorlagen oder Informationen dienen lediglich als Referenz. Wir versuchen, die Informationen stets zu aktualisieren und zu korrigieren. Wir geben jedoch, weder ausdrücklich noch </w:t>
            </w:r>
            <w:proofErr w:type="gramStart"/>
            <w:r>
              <w:rPr>
                <w:rFonts w:ascii="Century Gothic" w:hAnsi="Century Gothic"/>
              </w:rPr>
              <w:t>stillschweigend</w:t>
            </w:r>
            <w:proofErr w:type="gramEnd"/>
            <w:r>
              <w:rPr>
                <w:rFonts w:ascii="Century Gothic" w:hAnsi="Century Gothic"/>
              </w:rPr>
              <w:t>, keine Zusicherungen oder Garantien jeglicher Art über die Vollständigkeit, Genauigkeit, Zuverlässigkeit, Eignung oder Verfügbarkeit in Bezug auf die Website oder die auf der Website enthaltenen Informationen, Artikel, Vorlagen oder zugehörigen Grafiken. Jegliches Vertrauen, das Sie in solche Informationen setzen, ist aus eigener Verantwortung.</w:t>
            </w:r>
          </w:p>
        </w:tc>
      </w:tr>
    </w:tbl>
    <w:p w14:paraId="1946B9E3" w14:textId="77777777" w:rsidR="00E9555E" w:rsidRDefault="00E9555E" w:rsidP="00E9555E">
      <w:pPr>
        <w:rPr>
          <w:rFonts w:ascii="Century Gothic" w:hAnsi="Century Gothic" w:cs="Arial"/>
          <w:sz w:val="20"/>
          <w:szCs w:val="20"/>
        </w:rPr>
      </w:pPr>
    </w:p>
    <w:p w14:paraId="4955F1E3" w14:textId="77777777" w:rsidR="00E9555E" w:rsidRPr="00D3383E" w:rsidRDefault="00E9555E" w:rsidP="00E9555E">
      <w:pPr>
        <w:rPr>
          <w:rFonts w:ascii="Century Gothic" w:hAnsi="Century Gothic" w:cs="Arial"/>
          <w:sz w:val="20"/>
          <w:szCs w:val="20"/>
        </w:rPr>
      </w:pPr>
    </w:p>
    <w:p w14:paraId="1C348169" w14:textId="14F2229F" w:rsidR="00E9555E" w:rsidRPr="00E9555E" w:rsidRDefault="00E9555E">
      <w:pPr>
        <w:rPr>
          <w:rFonts w:ascii="Century Gothic" w:hAnsi="Century Gothic"/>
          <w:b/>
          <w:bCs/>
          <w:color w:val="595959" w:themeColor="text1" w:themeTint="A6"/>
          <w:sz w:val="44"/>
          <w:szCs w:val="44"/>
        </w:rPr>
      </w:pPr>
    </w:p>
    <w:sectPr w:rsidR="00E9555E" w:rsidRPr="00E9555E" w:rsidSect="00DA652A">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3960E" w14:textId="77777777" w:rsidR="004C5520" w:rsidRDefault="004C5520" w:rsidP="00D6598F">
      <w:pPr>
        <w:spacing w:after="0" w:line="240" w:lineRule="auto"/>
      </w:pPr>
      <w:r>
        <w:separator/>
      </w:r>
    </w:p>
  </w:endnote>
  <w:endnote w:type="continuationSeparator" w:id="0">
    <w:p w14:paraId="245CFF82" w14:textId="77777777" w:rsidR="004C5520" w:rsidRDefault="004C5520" w:rsidP="00D65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BC3B4F" w14:textId="77777777" w:rsidR="004C5520" w:rsidRDefault="004C5520" w:rsidP="00D6598F">
      <w:pPr>
        <w:spacing w:after="0" w:line="240" w:lineRule="auto"/>
      </w:pPr>
      <w:r>
        <w:separator/>
      </w:r>
    </w:p>
  </w:footnote>
  <w:footnote w:type="continuationSeparator" w:id="0">
    <w:p w14:paraId="6D977D7C" w14:textId="77777777" w:rsidR="004C5520" w:rsidRDefault="004C5520" w:rsidP="00D659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E160D"/>
    <w:multiLevelType w:val="multilevel"/>
    <w:tmpl w:val="2790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9B1AD5"/>
    <w:multiLevelType w:val="multilevel"/>
    <w:tmpl w:val="286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766BF"/>
    <w:multiLevelType w:val="multilevel"/>
    <w:tmpl w:val="D5B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F0CEC"/>
    <w:multiLevelType w:val="multilevel"/>
    <w:tmpl w:val="E0E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430082"/>
    <w:multiLevelType w:val="multilevel"/>
    <w:tmpl w:val="7492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03A3C"/>
    <w:multiLevelType w:val="multilevel"/>
    <w:tmpl w:val="A690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840076"/>
    <w:multiLevelType w:val="multilevel"/>
    <w:tmpl w:val="AF329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6A7E26"/>
    <w:multiLevelType w:val="multilevel"/>
    <w:tmpl w:val="8ACE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92148F2"/>
    <w:multiLevelType w:val="multilevel"/>
    <w:tmpl w:val="4452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FD1838"/>
    <w:multiLevelType w:val="multilevel"/>
    <w:tmpl w:val="905A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E41E70"/>
    <w:multiLevelType w:val="multilevel"/>
    <w:tmpl w:val="E960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7200A0"/>
    <w:multiLevelType w:val="hybridMultilevel"/>
    <w:tmpl w:val="8FAE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E84064"/>
    <w:multiLevelType w:val="multilevel"/>
    <w:tmpl w:val="F73EC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E702BB"/>
    <w:multiLevelType w:val="multilevel"/>
    <w:tmpl w:val="DAD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F35C56"/>
    <w:multiLevelType w:val="multilevel"/>
    <w:tmpl w:val="0C4C3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59966364">
    <w:abstractNumId w:val="4"/>
  </w:num>
  <w:num w:numId="2" w16cid:durableId="1750615785">
    <w:abstractNumId w:val="8"/>
  </w:num>
  <w:num w:numId="3" w16cid:durableId="253904161">
    <w:abstractNumId w:val="5"/>
  </w:num>
  <w:num w:numId="4" w16cid:durableId="364140788">
    <w:abstractNumId w:val="14"/>
  </w:num>
  <w:num w:numId="5" w16cid:durableId="693464801">
    <w:abstractNumId w:val="2"/>
  </w:num>
  <w:num w:numId="6" w16cid:durableId="209730835">
    <w:abstractNumId w:val="13"/>
  </w:num>
  <w:num w:numId="7" w16cid:durableId="698163981">
    <w:abstractNumId w:val="0"/>
  </w:num>
  <w:num w:numId="8" w16cid:durableId="1317339459">
    <w:abstractNumId w:val="12"/>
  </w:num>
  <w:num w:numId="9" w16cid:durableId="1085806641">
    <w:abstractNumId w:val="10"/>
  </w:num>
  <w:num w:numId="10" w16cid:durableId="988096627">
    <w:abstractNumId w:val="7"/>
  </w:num>
  <w:num w:numId="11" w16cid:durableId="1735543414">
    <w:abstractNumId w:val="9"/>
  </w:num>
  <w:num w:numId="12" w16cid:durableId="1170872422">
    <w:abstractNumId w:val="3"/>
  </w:num>
  <w:num w:numId="13" w16cid:durableId="1654481273">
    <w:abstractNumId w:val="1"/>
  </w:num>
  <w:num w:numId="14" w16cid:durableId="1466699318">
    <w:abstractNumId w:val="6"/>
  </w:num>
  <w:num w:numId="15" w16cid:durableId="17801810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55E"/>
    <w:rsid w:val="00036E51"/>
    <w:rsid w:val="0004078A"/>
    <w:rsid w:val="000411F0"/>
    <w:rsid w:val="00050CAB"/>
    <w:rsid w:val="0006376B"/>
    <w:rsid w:val="000D0FD7"/>
    <w:rsid w:val="000F173D"/>
    <w:rsid w:val="0012137D"/>
    <w:rsid w:val="00127B68"/>
    <w:rsid w:val="00192157"/>
    <w:rsid w:val="001A1328"/>
    <w:rsid w:val="001C2AC3"/>
    <w:rsid w:val="001F59E2"/>
    <w:rsid w:val="001F6345"/>
    <w:rsid w:val="001F7699"/>
    <w:rsid w:val="0021444A"/>
    <w:rsid w:val="00214A64"/>
    <w:rsid w:val="0022352A"/>
    <w:rsid w:val="00280F66"/>
    <w:rsid w:val="00291D98"/>
    <w:rsid w:val="002A5A3C"/>
    <w:rsid w:val="002D3824"/>
    <w:rsid w:val="00333D63"/>
    <w:rsid w:val="003A4A32"/>
    <w:rsid w:val="003A776D"/>
    <w:rsid w:val="003D33EA"/>
    <w:rsid w:val="003E1829"/>
    <w:rsid w:val="00423B67"/>
    <w:rsid w:val="004C5520"/>
    <w:rsid w:val="005233D9"/>
    <w:rsid w:val="0053241E"/>
    <w:rsid w:val="005C758F"/>
    <w:rsid w:val="005F1960"/>
    <w:rsid w:val="00655863"/>
    <w:rsid w:val="00670F01"/>
    <w:rsid w:val="00680F0E"/>
    <w:rsid w:val="006841C6"/>
    <w:rsid w:val="00694E25"/>
    <w:rsid w:val="006D4C32"/>
    <w:rsid w:val="006E160E"/>
    <w:rsid w:val="007057FB"/>
    <w:rsid w:val="00780711"/>
    <w:rsid w:val="00796115"/>
    <w:rsid w:val="007A4076"/>
    <w:rsid w:val="007D257E"/>
    <w:rsid w:val="007F7BB8"/>
    <w:rsid w:val="00856B1D"/>
    <w:rsid w:val="00874FC2"/>
    <w:rsid w:val="00887180"/>
    <w:rsid w:val="00890011"/>
    <w:rsid w:val="008A34A1"/>
    <w:rsid w:val="008A6AA0"/>
    <w:rsid w:val="00902D43"/>
    <w:rsid w:val="00960644"/>
    <w:rsid w:val="009A4B55"/>
    <w:rsid w:val="009C2AF2"/>
    <w:rsid w:val="009C3683"/>
    <w:rsid w:val="00AB29C2"/>
    <w:rsid w:val="00AD6314"/>
    <w:rsid w:val="00B20388"/>
    <w:rsid w:val="00B55FB5"/>
    <w:rsid w:val="00B5700F"/>
    <w:rsid w:val="00B6775F"/>
    <w:rsid w:val="00B838C5"/>
    <w:rsid w:val="00BC1FE7"/>
    <w:rsid w:val="00BE49A9"/>
    <w:rsid w:val="00CC01FA"/>
    <w:rsid w:val="00CD13E5"/>
    <w:rsid w:val="00D1020F"/>
    <w:rsid w:val="00D116C2"/>
    <w:rsid w:val="00D1464D"/>
    <w:rsid w:val="00D22386"/>
    <w:rsid w:val="00D6598F"/>
    <w:rsid w:val="00DA652A"/>
    <w:rsid w:val="00E56F58"/>
    <w:rsid w:val="00E82E2E"/>
    <w:rsid w:val="00E9555E"/>
    <w:rsid w:val="00EA6DAE"/>
    <w:rsid w:val="00EA7488"/>
    <w:rsid w:val="00EE52D1"/>
    <w:rsid w:val="00F065C8"/>
    <w:rsid w:val="00F1326C"/>
    <w:rsid w:val="00F462A7"/>
    <w:rsid w:val="00F840C3"/>
    <w:rsid w:val="00FB40C3"/>
    <w:rsid w:val="00FB5F87"/>
    <w:rsid w:val="00FC39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8C3809"/>
  <w15:chartTrackingRefBased/>
  <w15:docId w15:val="{6AADBD4E-137C-498F-8DBB-F3B3B47DE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555E"/>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D63"/>
    <w:pPr>
      <w:ind w:left="720"/>
      <w:contextualSpacing/>
    </w:pPr>
  </w:style>
  <w:style w:type="paragraph" w:styleId="Header">
    <w:name w:val="header"/>
    <w:basedOn w:val="Normal"/>
    <w:link w:val="HeaderChar"/>
    <w:uiPriority w:val="99"/>
    <w:unhideWhenUsed/>
    <w:rsid w:val="00D65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98F"/>
  </w:style>
  <w:style w:type="paragraph" w:styleId="Footer">
    <w:name w:val="footer"/>
    <w:basedOn w:val="Normal"/>
    <w:link w:val="FooterChar"/>
    <w:uiPriority w:val="99"/>
    <w:unhideWhenUsed/>
    <w:rsid w:val="00D65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9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0597900">
      <w:bodyDiv w:val="1"/>
      <w:marLeft w:val="0"/>
      <w:marRight w:val="0"/>
      <w:marTop w:val="0"/>
      <w:marBottom w:val="0"/>
      <w:divBdr>
        <w:top w:val="none" w:sz="0" w:space="0" w:color="auto"/>
        <w:left w:val="none" w:sz="0" w:space="0" w:color="auto"/>
        <w:bottom w:val="none" w:sz="0" w:space="0" w:color="auto"/>
        <w:right w:val="none" w:sz="0" w:space="0" w:color="auto"/>
      </w:divBdr>
    </w:div>
    <w:div w:id="450630613">
      <w:bodyDiv w:val="1"/>
      <w:marLeft w:val="0"/>
      <w:marRight w:val="0"/>
      <w:marTop w:val="0"/>
      <w:marBottom w:val="0"/>
      <w:divBdr>
        <w:top w:val="none" w:sz="0" w:space="0" w:color="auto"/>
        <w:left w:val="none" w:sz="0" w:space="0" w:color="auto"/>
        <w:bottom w:val="none" w:sz="0" w:space="0" w:color="auto"/>
        <w:right w:val="none" w:sz="0" w:space="0" w:color="auto"/>
      </w:divBdr>
    </w:div>
    <w:div w:id="1011492121">
      <w:bodyDiv w:val="1"/>
      <w:marLeft w:val="0"/>
      <w:marRight w:val="0"/>
      <w:marTop w:val="0"/>
      <w:marBottom w:val="0"/>
      <w:divBdr>
        <w:top w:val="none" w:sz="0" w:space="0" w:color="auto"/>
        <w:left w:val="none" w:sz="0" w:space="0" w:color="auto"/>
        <w:bottom w:val="none" w:sz="0" w:space="0" w:color="auto"/>
        <w:right w:val="none" w:sz="0" w:space="0" w:color="auto"/>
      </w:divBdr>
    </w:div>
    <w:div w:id="1353728743">
      <w:bodyDiv w:val="1"/>
      <w:marLeft w:val="0"/>
      <w:marRight w:val="0"/>
      <w:marTop w:val="0"/>
      <w:marBottom w:val="0"/>
      <w:divBdr>
        <w:top w:val="none" w:sz="0" w:space="0" w:color="auto"/>
        <w:left w:val="none" w:sz="0" w:space="0" w:color="auto"/>
        <w:bottom w:val="none" w:sz="0" w:space="0" w:color="auto"/>
        <w:right w:val="none" w:sz="0" w:space="0" w:color="auto"/>
      </w:divBdr>
    </w:div>
    <w:div w:id="1697003087">
      <w:bodyDiv w:val="1"/>
      <w:marLeft w:val="0"/>
      <w:marRight w:val="0"/>
      <w:marTop w:val="0"/>
      <w:marBottom w:val="0"/>
      <w:divBdr>
        <w:top w:val="none" w:sz="0" w:space="0" w:color="auto"/>
        <w:left w:val="none" w:sz="0" w:space="0" w:color="auto"/>
        <w:bottom w:val="none" w:sz="0" w:space="0" w:color="auto"/>
        <w:right w:val="none" w:sz="0" w:space="0" w:color="auto"/>
      </w:divBdr>
    </w:div>
    <w:div w:id="1933470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smartsheet.com/try-it?trp=49545"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447</Words>
  <Characters>3233</Characters>
  <Application>Microsoft Office Word</Application>
  <DocSecurity>0</DocSecurity>
  <Lines>73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Ricky Nan</cp:lastModifiedBy>
  <cp:revision>9</cp:revision>
  <dcterms:created xsi:type="dcterms:W3CDTF">2024-05-28T11:19:00Z</dcterms:created>
  <dcterms:modified xsi:type="dcterms:W3CDTF">2024-09-24T13:19:00Z</dcterms:modified>
</cp:coreProperties>
</file>