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3E77" w14:textId="54969B77" w:rsidR="00854633" w:rsidRPr="00807F13" w:rsidRDefault="00CF1E9D" w:rsidP="00854633">
      <w:pPr>
        <w:spacing w:line="240" w:lineRule="auto"/>
        <w:rPr>
          <w:color w:val="595959" w:themeColor="text1" w:themeTint="A6"/>
          <w:sz w:val="18"/>
          <w:szCs w:val="18"/>
        </w:rPr>
      </w:pPr>
      <w:r>
        <w:rPr>
          <w:noProof/>
        </w:rPr>
        <w:drawing>
          <wp:anchor distT="0" distB="0" distL="114300" distR="114300" simplePos="0" relativeHeight="251658240" behindDoc="0" locked="0" layoutInCell="1" allowOverlap="1" wp14:anchorId="30D70809" wp14:editId="1846F24E">
            <wp:simplePos x="0" y="0"/>
            <wp:positionH relativeFrom="column">
              <wp:posOffset>6524625</wp:posOffset>
            </wp:positionH>
            <wp:positionV relativeFrom="paragraph">
              <wp:posOffset>1905</wp:posOffset>
            </wp:positionV>
            <wp:extent cx="2743200" cy="545609"/>
            <wp:effectExtent l="0" t="0" r="0" b="6985"/>
            <wp:wrapNone/>
            <wp:docPr id="2" name="image1.png"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7"/>
                      <a:extLst>
                        <a:ext uri="{FF2B5EF4-FFF2-40B4-BE49-F238E27FC236}">
                          <a16:creationId xmlns:a16="http://schemas.microsoft.com/office/drawing/2014/main" id="{6F5BFC0F-DD84-78A2-9AE8-682B5C62E4E7}"/>
                        </a:ext>
                      </a:extLst>
                    </pic:cNvPr>
                    <pic:cNvPicPr preferRelativeResize="0"/>
                  </pic:nvPicPr>
                  <pic:blipFill>
                    <a:blip r:embed="rId8">
                      <a:extLst>
                        <a:ext uri="{28A0092B-C50C-407E-A947-70E740481C1C}">
                          <a14:useLocalDpi xmlns:a14="http://schemas.microsoft.com/office/drawing/2010/main" val="0"/>
                        </a:ext>
                      </a:extLst>
                    </a:blip>
                    <a:srcRect/>
                    <a:stretch/>
                  </pic:blipFill>
                  <pic:spPr>
                    <a:xfrm>
                      <a:off x="0" y="0"/>
                      <a:ext cx="2743200" cy="545609"/>
                    </a:xfrm>
                    <a:prstGeom prst="rect">
                      <a:avLst/>
                    </a:prstGeom>
                    <a:noFill/>
                  </pic:spPr>
                </pic:pic>
              </a:graphicData>
            </a:graphic>
            <wp14:sizeRelH relativeFrom="page">
              <wp14:pctWidth>0</wp14:pctWidth>
            </wp14:sizeRelH>
            <wp14:sizeRelV relativeFrom="page">
              <wp14:pctHeight>0</wp14:pctHeight>
            </wp14:sizeRelV>
          </wp:anchor>
        </w:drawing>
      </w:r>
      <w:r w:rsidR="006E2CEC">
        <w:rPr>
          <w:b/>
          <w:color w:val="595959" w:themeColor="text1" w:themeTint="A6"/>
          <w:sz w:val="46"/>
        </w:rPr>
        <w:t xml:space="preserve">Beispielvorlage für einen strategischen </w:t>
      </w:r>
      <w:r w:rsidR="0079272D">
        <w:rPr>
          <w:b/>
          <w:color w:val="595959" w:themeColor="text1" w:themeTint="A6"/>
          <w:sz w:val="46"/>
          <w:szCs w:val="46"/>
        </w:rPr>
        <w:br/>
      </w:r>
      <w:r w:rsidR="006E2CEC">
        <w:rPr>
          <w:b/>
          <w:color w:val="595959" w:themeColor="text1" w:themeTint="A6"/>
          <w:sz w:val="46"/>
        </w:rPr>
        <w:t>5-Jahres-Business-Plan</w:t>
      </w:r>
      <w:r w:rsidR="000E3EE3">
        <w:rPr>
          <w:b/>
          <w:color w:val="595959" w:themeColor="text1" w:themeTint="A6"/>
          <w:sz w:val="46"/>
          <w:szCs w:val="46"/>
        </w:rPr>
        <w:br/>
      </w:r>
    </w:p>
    <w:p w14:paraId="241BDFF6" w14:textId="77777777" w:rsidR="00BB62A7" w:rsidRDefault="00BB62A7" w:rsidP="000029E5">
      <w:pPr>
        <w:spacing w:after="240"/>
        <w:jc w:val="center"/>
        <w:rPr>
          <w:color w:val="7F7F7F" w:themeColor="text1" w:themeTint="80"/>
          <w:sz w:val="50"/>
          <w:szCs w:val="50"/>
        </w:rPr>
      </w:pPr>
    </w:p>
    <w:p w14:paraId="3D1A1173" w14:textId="70486371" w:rsidR="000029E5" w:rsidRPr="001E16F8" w:rsidRDefault="00901FA1" w:rsidP="000029E5">
      <w:pPr>
        <w:spacing w:after="240"/>
        <w:jc w:val="center"/>
        <w:rPr>
          <w:color w:val="7F7F7F" w:themeColor="text1" w:themeTint="80"/>
          <w:sz w:val="50"/>
          <w:szCs w:val="50"/>
        </w:rPr>
      </w:pPr>
      <w:r>
        <w:rPr>
          <w:color w:val="7F7F7F" w:themeColor="text1" w:themeTint="80"/>
          <w:sz w:val="50"/>
        </w:rPr>
        <w:t>POSITIVE CHARGE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rPr>
        <w:t>5-JAHRES-STRATEGIEPLAN 20XX–20XX</w:t>
      </w:r>
    </w:p>
    <w:tbl>
      <w:tblPr>
        <w:tblStyle w:val="TableGrid"/>
        <w:tblW w:w="0" w:type="auto"/>
        <w:tblLook w:val="04A0" w:firstRow="1" w:lastRow="0" w:firstColumn="1" w:lastColumn="0" w:noHBand="0" w:noVBand="1"/>
      </w:tblPr>
      <w:tblGrid>
        <w:gridCol w:w="1710"/>
        <w:gridCol w:w="5580"/>
        <w:gridCol w:w="1530"/>
        <w:gridCol w:w="5616"/>
      </w:tblGrid>
      <w:tr w:rsidR="003E0901" w14:paraId="2168AF32" w14:textId="378A4ADB" w:rsidTr="00482C57">
        <w:trPr>
          <w:trHeight w:val="4815"/>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Pr>
                <w:color w:val="788B8E"/>
                <w:sz w:val="28"/>
              </w:rPr>
              <w:t>MISSION</w:t>
            </w:r>
          </w:p>
          <w:p w14:paraId="3D35B9E1" w14:textId="77777777" w:rsidR="008216A9" w:rsidRPr="008216A9" w:rsidRDefault="008216A9" w:rsidP="003E0901">
            <w:pPr>
              <w:ind w:left="251"/>
              <w:rPr>
                <w:color w:val="595959" w:themeColor="text1" w:themeTint="A6"/>
              </w:rPr>
            </w:pPr>
            <w:r>
              <w:rPr>
                <w:color w:val="788B8E"/>
              </w:rPr>
              <w:t>Statement</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42ADE1E7" w14:textId="77777777" w:rsidR="00482C57" w:rsidRPr="00901FA1" w:rsidRDefault="009064BB" w:rsidP="004C1201">
            <w:pPr>
              <w:spacing w:after="120"/>
              <w:rPr>
                <w:color w:val="000000" w:themeColor="text1"/>
                <w:sz w:val="24"/>
                <w:szCs w:val="24"/>
              </w:rPr>
            </w:pPr>
            <w:r>
              <w:rPr>
                <w:color w:val="000000" w:themeColor="text1"/>
                <w:sz w:val="24"/>
              </w:rPr>
              <w:t>Positive Charge hat es sich zur Aufgabe gemacht, die weltweite Umstellung zu nachhaltigem Transport zu beschleunigen. Wir bieten zuverlässige, bequeme und innovative Ladelösungen für Elektrofahrzeuge (EV) und wertvolle Logistikdienstleistungen für Besitzer*innen von Elektrofahrzeugen.</w:t>
            </w:r>
          </w:p>
          <w:p w14:paraId="5128B305" w14:textId="563B796B" w:rsidR="008216A9" w:rsidRPr="00482C57" w:rsidRDefault="009064BB" w:rsidP="004C1201">
            <w:pPr>
              <w:spacing w:after="120"/>
              <w:rPr>
                <w:color w:val="000000" w:themeColor="text1"/>
              </w:rPr>
            </w:pPr>
            <w:r>
              <w:rPr>
                <w:color w:val="000000" w:themeColor="text1"/>
                <w:sz w:val="24"/>
              </w:rPr>
              <w:t>Unser Engagement für Nachhaltigkeit treibt uns an, unsere Infrastruktur kontinuierlich zu verbessern und zu erweitern, um die Zugänglichkeit für alle Fahrer*innen von Elektrofahrzeugen zu gewährleisten und zu einem saubereren, grüneren Planeten beizutragen.</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Pr>
                <w:color w:val="788B8E"/>
                <w:sz w:val="28"/>
              </w:rPr>
              <w:t>VISION</w:t>
            </w:r>
          </w:p>
          <w:p w14:paraId="2071BC57" w14:textId="6E9B0A07" w:rsidR="008216A9" w:rsidRPr="008216A9" w:rsidRDefault="008216A9" w:rsidP="003E0901">
            <w:pPr>
              <w:spacing w:after="120"/>
              <w:ind w:left="160"/>
              <w:rPr>
                <w:color w:val="000000" w:themeColor="text1"/>
              </w:rPr>
            </w:pPr>
            <w:r>
              <w:rPr>
                <w:color w:val="788B8E"/>
              </w:rPr>
              <w:t>Statement</w:t>
            </w:r>
          </w:p>
        </w:tc>
        <w:tc>
          <w:tcPr>
            <w:tcW w:w="5616" w:type="dxa"/>
            <w:tcBorders>
              <w:top w:val="nil"/>
              <w:left w:val="nil"/>
              <w:bottom w:val="single" w:sz="18" w:space="0" w:color="CED9D6"/>
              <w:right w:val="single" w:sz="18" w:space="0" w:color="CED9D6"/>
            </w:tcBorders>
            <w:shd w:val="clear" w:color="auto" w:fill="F1F6F4"/>
          </w:tcPr>
          <w:p w14:paraId="07A53DBC" w14:textId="77777777" w:rsidR="00482C57" w:rsidRPr="00901FA1" w:rsidRDefault="00482C57" w:rsidP="004C1201">
            <w:pPr>
              <w:spacing w:after="120"/>
              <w:rPr>
                <w:color w:val="000000" w:themeColor="text1"/>
                <w:sz w:val="24"/>
                <w:szCs w:val="24"/>
              </w:rPr>
            </w:pPr>
            <w:r>
              <w:rPr>
                <w:color w:val="000000" w:themeColor="text1"/>
                <w:sz w:val="24"/>
              </w:rPr>
              <w:t>Unsere Vision ist es, ein weltweit führender Anbieter in der EV-Ladebranche zu werden und den Standard für Innovation, Kundenzufriedenheit und Umweltschutz zu setzen.</w:t>
            </w:r>
          </w:p>
          <w:p w14:paraId="2048692F" w14:textId="77777777" w:rsidR="00901FA1" w:rsidRPr="00901FA1" w:rsidRDefault="00482C57" w:rsidP="004C1201">
            <w:pPr>
              <w:spacing w:after="120"/>
              <w:rPr>
                <w:color w:val="000000" w:themeColor="text1"/>
                <w:sz w:val="24"/>
                <w:szCs w:val="24"/>
              </w:rPr>
            </w:pPr>
            <w:r>
              <w:rPr>
                <w:color w:val="000000" w:themeColor="text1"/>
                <w:sz w:val="24"/>
              </w:rPr>
              <w:t>Positive Charge hat sich zum Ziel gesetzt, bis 20XX das umfangreichste und technologisch fortschrittlichste Ladenetz aufzubauen, um weltweit eine nahtlose und nachhaltige Mobilität zu ermöglichen.</w:t>
            </w:r>
          </w:p>
          <w:p w14:paraId="4F668E39" w14:textId="7C92A171" w:rsidR="008216A9" w:rsidRPr="001E16F8" w:rsidRDefault="00482C57" w:rsidP="004C1201">
            <w:pPr>
              <w:spacing w:after="120"/>
              <w:rPr>
                <w:color w:val="000000" w:themeColor="text1"/>
              </w:rPr>
            </w:pPr>
            <w:r>
              <w:rPr>
                <w:color w:val="000000" w:themeColor="text1"/>
                <w:sz w:val="24"/>
              </w:rPr>
              <w:t>Wir stellen uns eine Zukunft vor, in der elektrische Verkehrsmittel die Norm sind, mit erneuerbarer Energie betrieben werden und für jeden und überall zugänglich sind.</w:t>
            </w:r>
          </w:p>
        </w:tc>
      </w:tr>
    </w:tbl>
    <w:p w14:paraId="324C9E84" w14:textId="49A73F52" w:rsidR="00482C57" w:rsidRDefault="00482C57" w:rsidP="008216A9">
      <w:pPr>
        <w:spacing w:line="240" w:lineRule="auto"/>
        <w:jc w:val="center"/>
        <w:rPr>
          <w:color w:val="595959" w:themeColor="text1" w:themeTint="A6"/>
          <w:sz w:val="20"/>
          <w:szCs w:val="20"/>
        </w:rPr>
      </w:pPr>
    </w:p>
    <w:p w14:paraId="30351BE9" w14:textId="77777777" w:rsidR="00482C57" w:rsidRDefault="00482C57">
      <w:pPr>
        <w:rPr>
          <w:color w:val="595959" w:themeColor="text1" w:themeTint="A6"/>
          <w:sz w:val="20"/>
          <w:szCs w:val="20"/>
        </w:rPr>
      </w:pPr>
      <w:r>
        <w:rPr>
          <w:color w:val="595959" w:themeColor="text1" w:themeTint="A6"/>
          <w:sz w:val="20"/>
          <w:szCs w:val="20"/>
        </w:rPr>
        <w:br w:type="page"/>
      </w:r>
    </w:p>
    <w:p w14:paraId="70DC2C95"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65"/>
        <w:gridCol w:w="2516"/>
        <w:gridCol w:w="2421"/>
        <w:gridCol w:w="2445"/>
        <w:gridCol w:w="2440"/>
        <w:gridCol w:w="2437"/>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0154E8" w:rsidRDefault="00807F13" w:rsidP="0088159D">
            <w:pPr>
              <w:rPr>
                <w:color w:val="595959" w:themeColor="text1" w:themeTint="A6"/>
                <w:sz w:val="20"/>
                <w:szCs w:val="20"/>
              </w:rPr>
            </w:pPr>
            <w:r>
              <w:rPr>
                <w:color w:val="595959" w:themeColor="text1" w:themeTint="A6"/>
                <w:sz w:val="20"/>
              </w:rPr>
              <w:t xml:space="preserve">ZIELE JAHR 1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3D883FAD" w14:textId="719178CA" w:rsidR="000029E5" w:rsidRPr="000154E8" w:rsidRDefault="00807F13" w:rsidP="0088159D">
            <w:pPr>
              <w:rPr>
                <w:color w:val="595959" w:themeColor="text1" w:themeTint="A6"/>
                <w:sz w:val="20"/>
                <w:szCs w:val="20"/>
              </w:rPr>
            </w:pPr>
            <w:r>
              <w:rPr>
                <w:color w:val="595959" w:themeColor="text1" w:themeTint="A6"/>
                <w:sz w:val="20"/>
              </w:rPr>
              <w:t xml:space="preserve">ZIELE JAHR 2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2EFF91C9" w14:textId="7BC3B972" w:rsidR="000029E5" w:rsidRPr="000154E8" w:rsidRDefault="00807F13" w:rsidP="0088159D">
            <w:pPr>
              <w:rPr>
                <w:color w:val="595959" w:themeColor="text1" w:themeTint="A6"/>
                <w:sz w:val="20"/>
                <w:szCs w:val="20"/>
              </w:rPr>
            </w:pPr>
            <w:r>
              <w:rPr>
                <w:color w:val="595959" w:themeColor="text1" w:themeTint="A6"/>
                <w:sz w:val="20"/>
              </w:rPr>
              <w:t xml:space="preserve">ZIELE JAHR 3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889FDE" w14:textId="20E15098" w:rsidR="000029E5" w:rsidRPr="000154E8" w:rsidRDefault="00807F13" w:rsidP="0088159D">
            <w:pPr>
              <w:rPr>
                <w:color w:val="595959" w:themeColor="text1" w:themeTint="A6"/>
                <w:sz w:val="20"/>
                <w:szCs w:val="20"/>
              </w:rPr>
            </w:pPr>
            <w:r>
              <w:rPr>
                <w:color w:val="595959" w:themeColor="text1" w:themeTint="A6"/>
                <w:sz w:val="20"/>
              </w:rPr>
              <w:t xml:space="preserve">ZIELE JAHR 4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69C4F1" w14:textId="1688A489" w:rsidR="000029E5" w:rsidRPr="000154E8" w:rsidRDefault="00807F13" w:rsidP="0088159D">
            <w:pPr>
              <w:rPr>
                <w:color w:val="595959" w:themeColor="text1" w:themeTint="A6"/>
                <w:sz w:val="20"/>
                <w:szCs w:val="20"/>
              </w:rPr>
            </w:pPr>
            <w:r>
              <w:rPr>
                <w:color w:val="595959" w:themeColor="text1" w:themeTint="A6"/>
                <w:sz w:val="20"/>
              </w:rPr>
              <w:t xml:space="preserve">ZIELE JAHR 5 – </w:t>
            </w:r>
            <w:r w:rsidRPr="000154E8">
              <w:rPr>
                <w:color w:val="595959" w:themeColor="text1" w:themeTint="A6"/>
                <w:sz w:val="24"/>
                <w:szCs w:val="24"/>
              </w:rPr>
              <w:t>20XX</w:t>
            </w:r>
          </w:p>
        </w:tc>
      </w:tr>
      <w:tr w:rsidR="0088159D" w:rsidRPr="000029E5" w14:paraId="533337FB" w14:textId="77777777" w:rsidTr="00520499">
        <w:trPr>
          <w:trHeight w:val="1512"/>
        </w:trPr>
        <w:tc>
          <w:tcPr>
            <w:tcW w:w="1738"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Pr>
                <w:color w:val="000000" w:themeColor="text1"/>
                <w:sz w:val="21"/>
              </w:rPr>
              <w:t>FINANZEN</w:t>
            </w:r>
          </w:p>
        </w:tc>
        <w:tc>
          <w:tcPr>
            <w:tcW w:w="2548" w:type="dxa"/>
            <w:tcBorders>
              <w:left w:val="single" w:sz="18" w:space="0" w:color="CED9D6"/>
            </w:tcBorders>
          </w:tcPr>
          <w:p w14:paraId="64B37C94" w14:textId="4C54B5CC" w:rsidR="0088159D" w:rsidRPr="00C46BC3" w:rsidRDefault="00901FA1" w:rsidP="00954C5C">
            <w:pPr>
              <w:rPr>
                <w:color w:val="000000" w:themeColor="text1"/>
                <w:sz w:val="14"/>
                <w:szCs w:val="14"/>
              </w:rPr>
            </w:pPr>
            <w:r w:rsidRPr="00C46BC3">
              <w:rPr>
                <w:color w:val="000000" w:themeColor="text1"/>
                <w:sz w:val="14"/>
                <w:szCs w:val="14"/>
                <w:u w:val="single"/>
              </w:rPr>
              <w:t>Grundlage schaffen:</w:t>
            </w:r>
            <w:r w:rsidR="00954C5C" w:rsidRPr="00C46BC3">
              <w:rPr>
                <w:color w:val="000000" w:themeColor="text1"/>
                <w:sz w:val="14"/>
                <w:szCs w:val="14"/>
              </w:rPr>
              <w:t xml:space="preserve"> Durch den Ausbau des Ladenetzes um 15 % einen Umsatz von 5 Millionen Euro erwirtschaften. 2 Millionen Euro an Finanzmitteln für technologische Upgrades und Weiterentwicklung sichern.</w:t>
            </w:r>
          </w:p>
        </w:tc>
        <w:tc>
          <w:tcPr>
            <w:tcW w:w="2549" w:type="dxa"/>
            <w:shd w:val="clear" w:color="auto" w:fill="FAFAFA"/>
          </w:tcPr>
          <w:p w14:paraId="2BDC87AA" w14:textId="77777777" w:rsidR="008F58FD" w:rsidRPr="00C46BC3" w:rsidRDefault="00954C5C" w:rsidP="008F58FD">
            <w:pPr>
              <w:rPr>
                <w:color w:val="000000" w:themeColor="text1"/>
                <w:sz w:val="14"/>
                <w:szCs w:val="14"/>
              </w:rPr>
            </w:pPr>
            <w:r w:rsidRPr="00C46BC3">
              <w:rPr>
                <w:color w:val="000000" w:themeColor="text1"/>
                <w:sz w:val="14"/>
                <w:szCs w:val="14"/>
                <w:u w:val="single"/>
              </w:rPr>
              <w:t>Wachstum und Expansion:</w:t>
            </w:r>
            <w:r w:rsidR="008F58FD" w:rsidRPr="00C46BC3">
              <w:rPr>
                <w:color w:val="000000" w:themeColor="text1"/>
                <w:sz w:val="14"/>
                <w:szCs w:val="14"/>
              </w:rPr>
              <w:t xml:space="preserve"> Umsatz um 20 % steigern, mit Fokus auf städtische Gebiete mit hoher Nachfrage.</w:t>
            </w:r>
          </w:p>
          <w:p w14:paraId="54BF1BD9" w14:textId="464D54EE" w:rsidR="0088159D" w:rsidRPr="00C46BC3" w:rsidRDefault="008F58FD" w:rsidP="008F58FD">
            <w:pPr>
              <w:rPr>
                <w:color w:val="000000" w:themeColor="text1"/>
                <w:sz w:val="14"/>
                <w:szCs w:val="14"/>
              </w:rPr>
            </w:pPr>
            <w:r w:rsidRPr="00C46BC3">
              <w:rPr>
                <w:color w:val="000000" w:themeColor="text1"/>
                <w:sz w:val="14"/>
                <w:szCs w:val="14"/>
              </w:rPr>
              <w:t xml:space="preserve">Betriebskosten durch Effizienzsteigerungen um 5 % senken. </w:t>
            </w:r>
          </w:p>
        </w:tc>
        <w:tc>
          <w:tcPr>
            <w:tcW w:w="2549" w:type="dxa"/>
          </w:tcPr>
          <w:p w14:paraId="3F48B8AD" w14:textId="77777777" w:rsidR="00A85C00" w:rsidRPr="00C46BC3" w:rsidRDefault="008F58FD" w:rsidP="00A85C00">
            <w:pPr>
              <w:rPr>
                <w:color w:val="000000" w:themeColor="text1"/>
                <w:sz w:val="14"/>
                <w:szCs w:val="14"/>
              </w:rPr>
            </w:pPr>
            <w:r w:rsidRPr="00C46BC3">
              <w:rPr>
                <w:color w:val="000000" w:themeColor="text1"/>
                <w:sz w:val="14"/>
                <w:szCs w:val="14"/>
                <w:u w:val="single"/>
              </w:rPr>
              <w:t>Konsolidierung und Rentabilität:</w:t>
            </w:r>
            <w:r w:rsidRPr="00C46BC3">
              <w:rPr>
                <w:color w:val="000000" w:themeColor="text1"/>
                <w:sz w:val="14"/>
                <w:szCs w:val="14"/>
              </w:rPr>
              <w:t xml:space="preserve"> Durch strategische Partnerschaften und Diversifizierung im Dienstleistungsbereich 15 Millionen Euro Umsatz erreichen.</w:t>
            </w:r>
          </w:p>
          <w:p w14:paraId="429C24C1" w14:textId="63E1AA4C" w:rsidR="0088159D" w:rsidRPr="00C46BC3" w:rsidRDefault="00A85C00" w:rsidP="00A85C00">
            <w:pPr>
              <w:rPr>
                <w:color w:val="000000" w:themeColor="text1"/>
                <w:sz w:val="14"/>
                <w:szCs w:val="14"/>
              </w:rPr>
            </w:pPr>
            <w:r w:rsidRPr="00C46BC3">
              <w:rPr>
                <w:color w:val="000000" w:themeColor="text1"/>
                <w:sz w:val="14"/>
                <w:szCs w:val="14"/>
              </w:rPr>
              <w:t>Durch Optimierung des Betriebs und des Kostenmanagements eine Gewinnmarge von 15 % erzielen.</w:t>
            </w:r>
          </w:p>
        </w:tc>
        <w:tc>
          <w:tcPr>
            <w:tcW w:w="2549" w:type="dxa"/>
            <w:shd w:val="clear" w:color="auto" w:fill="FAFAFA"/>
          </w:tcPr>
          <w:p w14:paraId="7B3AE08B" w14:textId="6D4CE8D6" w:rsidR="0088159D" w:rsidRPr="00C46BC3" w:rsidRDefault="00A85C00" w:rsidP="00A43A23">
            <w:pPr>
              <w:rPr>
                <w:color w:val="000000" w:themeColor="text1"/>
                <w:sz w:val="14"/>
                <w:szCs w:val="14"/>
              </w:rPr>
            </w:pPr>
            <w:r w:rsidRPr="00C46BC3">
              <w:rPr>
                <w:color w:val="000000" w:themeColor="text1"/>
                <w:sz w:val="14"/>
                <w:szCs w:val="14"/>
                <w:u w:val="single"/>
              </w:rPr>
              <w:t>Marktführerschaft:</w:t>
            </w:r>
            <w:r w:rsidRPr="00C46BC3">
              <w:rPr>
                <w:color w:val="000000" w:themeColor="text1"/>
                <w:sz w:val="14"/>
                <w:szCs w:val="14"/>
              </w:rPr>
              <w:t xml:space="preserve"> Durch die Einführung innovativer Ladelösungen einen Umsatz von 25 Millionen Euro erreichen. International expandieren, beginnend mit Pilotprojekten in Europa und Asien.</w:t>
            </w:r>
          </w:p>
        </w:tc>
        <w:tc>
          <w:tcPr>
            <w:tcW w:w="2549" w:type="dxa"/>
          </w:tcPr>
          <w:p w14:paraId="1CC52BEF" w14:textId="3291A10E" w:rsidR="0088159D" w:rsidRPr="00C46BC3" w:rsidRDefault="00A85C00" w:rsidP="00A43A23">
            <w:pPr>
              <w:rPr>
                <w:color w:val="000000" w:themeColor="text1"/>
                <w:sz w:val="14"/>
                <w:szCs w:val="14"/>
              </w:rPr>
            </w:pPr>
            <w:r w:rsidRPr="00C46BC3">
              <w:rPr>
                <w:color w:val="000000" w:themeColor="text1"/>
                <w:sz w:val="14"/>
                <w:szCs w:val="14"/>
                <w:u w:val="single"/>
              </w:rPr>
              <w:t>Nachhaltigkeit und Innovation:</w:t>
            </w:r>
            <w:r w:rsidRPr="00C46BC3">
              <w:rPr>
                <w:color w:val="000000" w:themeColor="text1"/>
                <w:sz w:val="14"/>
                <w:szCs w:val="14"/>
              </w:rPr>
              <w:t xml:space="preserve"> Durch führende Position bei nachhaltigen Verfahren und der Integration erneuerbarer Energien mehr als 35 Millionen Euro Umsatz erzielen. 10 % des Gewinns in Forschung und Entwicklung für EV-Ladetechnologien der nächsten Generation investieren.</w:t>
            </w:r>
          </w:p>
        </w:tc>
      </w:tr>
      <w:tr w:rsidR="0088159D" w:rsidRPr="000029E5" w14:paraId="640E1C04" w14:textId="77777777" w:rsidTr="00520499">
        <w:trPr>
          <w:trHeight w:val="1512"/>
        </w:trPr>
        <w:tc>
          <w:tcPr>
            <w:tcW w:w="1738"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Pr>
                <w:color w:val="000000" w:themeColor="text1"/>
                <w:sz w:val="21"/>
              </w:rPr>
              <w:t>MARKETING</w:t>
            </w:r>
          </w:p>
        </w:tc>
        <w:tc>
          <w:tcPr>
            <w:tcW w:w="2548" w:type="dxa"/>
            <w:tcBorders>
              <w:left w:val="single" w:sz="18" w:space="0" w:color="CED9D6"/>
            </w:tcBorders>
          </w:tcPr>
          <w:p w14:paraId="25684728" w14:textId="4EBE6DC2" w:rsidR="0088159D" w:rsidRPr="00C46BC3" w:rsidRDefault="00AE5812" w:rsidP="00A43A23">
            <w:pPr>
              <w:rPr>
                <w:color w:val="000000" w:themeColor="text1"/>
                <w:sz w:val="14"/>
                <w:szCs w:val="14"/>
              </w:rPr>
            </w:pPr>
            <w:r w:rsidRPr="00C46BC3">
              <w:rPr>
                <w:color w:val="000000" w:themeColor="text1"/>
                <w:sz w:val="14"/>
                <w:szCs w:val="14"/>
                <w:u w:val="single"/>
              </w:rPr>
              <w:t>Markenbekanntheit:</w:t>
            </w:r>
            <w:r w:rsidRPr="00C46BC3">
              <w:rPr>
                <w:color w:val="000000" w:themeColor="text1"/>
                <w:sz w:val="14"/>
                <w:szCs w:val="14"/>
              </w:rPr>
              <w:t xml:space="preserve"> Eine umfassende digitale Marketingkampagne starten, um die Sichtbarkeit zu erhöhen. Partnerschaften mit Herstellern von Elektrofahrzeugen aufbauen, um Co-Marketing-Möglichkeiten zu nutzen.</w:t>
            </w:r>
          </w:p>
        </w:tc>
        <w:tc>
          <w:tcPr>
            <w:tcW w:w="2549" w:type="dxa"/>
            <w:shd w:val="clear" w:color="auto" w:fill="FAFAFA"/>
          </w:tcPr>
          <w:p w14:paraId="2C7E8C25" w14:textId="3435328C" w:rsidR="0088159D" w:rsidRPr="00C46BC3" w:rsidRDefault="00A43A23" w:rsidP="00A43A23">
            <w:pPr>
              <w:rPr>
                <w:color w:val="000000" w:themeColor="text1"/>
                <w:sz w:val="14"/>
                <w:szCs w:val="14"/>
              </w:rPr>
            </w:pPr>
            <w:r w:rsidRPr="00C46BC3">
              <w:rPr>
                <w:color w:val="000000" w:themeColor="text1"/>
                <w:sz w:val="14"/>
                <w:szCs w:val="14"/>
                <w:u w:val="single"/>
              </w:rPr>
              <w:t>Marktdurchdringung:</w:t>
            </w:r>
            <w:r w:rsidRPr="00C46BC3">
              <w:rPr>
                <w:color w:val="000000" w:themeColor="text1"/>
                <w:sz w:val="14"/>
                <w:szCs w:val="14"/>
              </w:rPr>
              <w:t xml:space="preserve"> Treueprogramme und Anreize für Vielnutzer*innen einführen. Veranstaltungen zu den Themen Sensibilisierung für Elektrofahrzeuge und Nachhaltigkeit ausrichten, um potenzielle Kund*innen aufzuklären und anzusprechen.</w:t>
            </w:r>
          </w:p>
        </w:tc>
        <w:tc>
          <w:tcPr>
            <w:tcW w:w="2549" w:type="dxa"/>
          </w:tcPr>
          <w:p w14:paraId="0DD32D47" w14:textId="1675A7AC" w:rsidR="0088159D" w:rsidRPr="00C46BC3" w:rsidRDefault="00053358" w:rsidP="00053358">
            <w:pPr>
              <w:rPr>
                <w:color w:val="000000" w:themeColor="text1"/>
                <w:sz w:val="14"/>
                <w:szCs w:val="14"/>
              </w:rPr>
            </w:pPr>
            <w:r w:rsidRPr="00C46BC3">
              <w:rPr>
                <w:color w:val="000000" w:themeColor="text1"/>
                <w:sz w:val="14"/>
                <w:szCs w:val="14"/>
                <w:u w:val="single"/>
              </w:rPr>
              <w:t>Kundenbindung</w:t>
            </w:r>
            <w:r w:rsidRPr="00C46BC3">
              <w:rPr>
                <w:color w:val="000000" w:themeColor="text1"/>
                <w:sz w:val="14"/>
                <w:szCs w:val="14"/>
              </w:rPr>
              <w:t xml:space="preserve">: Soziale Medien und Kundenfeedback nutzen, um die Nutzungserfahrung zu verbessern. Empfehlungsprogramme implementieren, um neue Benutzer*innen zu gewinnen. </w:t>
            </w:r>
          </w:p>
        </w:tc>
        <w:tc>
          <w:tcPr>
            <w:tcW w:w="2549" w:type="dxa"/>
            <w:shd w:val="clear" w:color="auto" w:fill="FAFAFA"/>
          </w:tcPr>
          <w:p w14:paraId="1E90D385" w14:textId="77777777" w:rsidR="005069D7" w:rsidRPr="00C46BC3" w:rsidRDefault="00053358" w:rsidP="005069D7">
            <w:pPr>
              <w:rPr>
                <w:color w:val="000000" w:themeColor="text1"/>
                <w:sz w:val="14"/>
                <w:szCs w:val="14"/>
              </w:rPr>
            </w:pPr>
            <w:r w:rsidRPr="00C46BC3">
              <w:rPr>
                <w:color w:val="000000" w:themeColor="text1"/>
                <w:sz w:val="14"/>
                <w:szCs w:val="14"/>
                <w:u w:val="single"/>
              </w:rPr>
              <w:t>Expansion und Diversifizierung</w:t>
            </w:r>
            <w:r w:rsidRPr="00C46BC3">
              <w:rPr>
                <w:color w:val="000000" w:themeColor="text1"/>
                <w:sz w:val="14"/>
                <w:szCs w:val="14"/>
              </w:rPr>
              <w:t>: Mit gezielten Marketingstrategien für lokale Verbraucher*innen neue Märkte erschließen.</w:t>
            </w:r>
          </w:p>
          <w:p w14:paraId="797CBB5B" w14:textId="350F596D" w:rsidR="0088159D" w:rsidRPr="00C46BC3" w:rsidRDefault="005069D7" w:rsidP="005069D7">
            <w:pPr>
              <w:rPr>
                <w:color w:val="000000" w:themeColor="text1"/>
                <w:sz w:val="14"/>
                <w:szCs w:val="14"/>
              </w:rPr>
            </w:pPr>
            <w:r w:rsidRPr="00C46BC3">
              <w:rPr>
                <w:color w:val="000000" w:themeColor="text1"/>
                <w:sz w:val="14"/>
                <w:szCs w:val="14"/>
              </w:rPr>
              <w:t>Marketingaktivitäten auf B2B-Segmente ausweiten, mit Fokus auf Logistikunternehmen.</w:t>
            </w:r>
          </w:p>
        </w:tc>
        <w:tc>
          <w:tcPr>
            <w:tcW w:w="2549" w:type="dxa"/>
          </w:tcPr>
          <w:p w14:paraId="412C8599" w14:textId="24830FC5" w:rsidR="0088159D" w:rsidRPr="00C46BC3" w:rsidRDefault="005069D7" w:rsidP="005069D7">
            <w:pPr>
              <w:rPr>
                <w:color w:val="000000" w:themeColor="text1"/>
                <w:sz w:val="14"/>
                <w:szCs w:val="14"/>
              </w:rPr>
            </w:pPr>
            <w:r w:rsidRPr="00C46BC3">
              <w:rPr>
                <w:color w:val="000000" w:themeColor="text1"/>
                <w:sz w:val="14"/>
                <w:szCs w:val="14"/>
                <w:u w:val="single"/>
              </w:rPr>
              <w:t>Markenführerschaft</w:t>
            </w:r>
            <w:r w:rsidRPr="00C46BC3">
              <w:rPr>
                <w:color w:val="000000" w:themeColor="text1"/>
                <w:sz w:val="14"/>
                <w:szCs w:val="14"/>
              </w:rPr>
              <w:t>: Positive Charge durch Branchenkonferenzen und Publikationen als Vordenker für innovative EV-Ladelösungen positionieren. Nachhaltigkeitsinitiativen und Erfolgsgeschichten von Kund*innen hervorheben, um Markentreue zu stärken.</w:t>
            </w:r>
          </w:p>
        </w:tc>
      </w:tr>
      <w:tr w:rsidR="0088159D" w:rsidRPr="000029E5" w14:paraId="7D91EEA5" w14:textId="77777777" w:rsidTr="00520499">
        <w:trPr>
          <w:trHeight w:val="1512"/>
        </w:trPr>
        <w:tc>
          <w:tcPr>
            <w:tcW w:w="1738"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Pr>
                <w:color w:val="000000" w:themeColor="text1"/>
                <w:sz w:val="21"/>
              </w:rPr>
              <w:t>GESELLSCHAFTLICHES ENGAGEMENT</w:t>
            </w:r>
          </w:p>
        </w:tc>
        <w:tc>
          <w:tcPr>
            <w:tcW w:w="2548" w:type="dxa"/>
            <w:tcBorders>
              <w:left w:val="single" w:sz="18" w:space="0" w:color="CED9D6"/>
            </w:tcBorders>
          </w:tcPr>
          <w:p w14:paraId="4EB5506C" w14:textId="53B7F8A6" w:rsidR="0088159D" w:rsidRPr="00C46BC3" w:rsidRDefault="00520499" w:rsidP="00533A0B">
            <w:pPr>
              <w:rPr>
                <w:color w:val="000000" w:themeColor="text1"/>
                <w:sz w:val="14"/>
                <w:szCs w:val="14"/>
              </w:rPr>
            </w:pPr>
            <w:r w:rsidRPr="00C46BC3">
              <w:rPr>
                <w:color w:val="000000" w:themeColor="text1"/>
                <w:sz w:val="14"/>
                <w:szCs w:val="14"/>
                <w:u w:val="single"/>
              </w:rPr>
              <w:t>Aufbau von Beziehungen</w:t>
            </w:r>
            <w:r w:rsidRPr="00C46BC3">
              <w:rPr>
                <w:color w:val="000000" w:themeColor="text1"/>
                <w:sz w:val="14"/>
                <w:szCs w:val="14"/>
              </w:rPr>
              <w:t>: Mit Kommunen und Gemeindeorganisationen gemeinsam an Infrastrukturprojekten für Elektrofahrzeuge arbeiten. Lokale Umwelt- und Nachhaltigkeitsveranstaltungen sponsern.</w:t>
            </w:r>
          </w:p>
        </w:tc>
        <w:tc>
          <w:tcPr>
            <w:tcW w:w="2549" w:type="dxa"/>
            <w:shd w:val="clear" w:color="auto" w:fill="FAFAFA"/>
          </w:tcPr>
          <w:p w14:paraId="1CDB1F72" w14:textId="1EEF3D7D" w:rsidR="0088159D" w:rsidRPr="00C46BC3" w:rsidRDefault="00533A0B" w:rsidP="0088159D">
            <w:pPr>
              <w:rPr>
                <w:color w:val="000000" w:themeColor="text1"/>
                <w:sz w:val="14"/>
                <w:szCs w:val="14"/>
              </w:rPr>
            </w:pPr>
            <w:r w:rsidRPr="00C46BC3">
              <w:rPr>
                <w:color w:val="000000" w:themeColor="text1"/>
                <w:sz w:val="14"/>
                <w:szCs w:val="14"/>
                <w:u w:val="single"/>
              </w:rPr>
              <w:t>Gemeindeprogramme</w:t>
            </w:r>
            <w:r w:rsidRPr="00C46BC3">
              <w:rPr>
                <w:color w:val="000000" w:themeColor="text1"/>
                <w:sz w:val="14"/>
                <w:szCs w:val="14"/>
              </w:rPr>
              <w:t>: Bildungsprogramme zu Elektrofahrzeugen und ökologischer Nachhaltigkeit in Schulen und Gemeinden starten. Ein Zuschussprogramm für lokale Unternehmen zur Installation von Ladestationen für Elektrofahrzeuge initiieren.</w:t>
            </w:r>
          </w:p>
        </w:tc>
        <w:tc>
          <w:tcPr>
            <w:tcW w:w="2549" w:type="dxa"/>
          </w:tcPr>
          <w:p w14:paraId="1D521495" w14:textId="7D48826C" w:rsidR="0088159D" w:rsidRPr="00C46BC3" w:rsidRDefault="00533A0B" w:rsidP="0088159D">
            <w:pPr>
              <w:rPr>
                <w:color w:val="000000" w:themeColor="text1"/>
                <w:sz w:val="14"/>
                <w:szCs w:val="14"/>
              </w:rPr>
            </w:pPr>
            <w:r w:rsidRPr="00C46BC3">
              <w:rPr>
                <w:color w:val="000000" w:themeColor="text1"/>
                <w:sz w:val="14"/>
                <w:szCs w:val="14"/>
                <w:u w:val="single"/>
              </w:rPr>
              <w:t>Feedback und Anpassung</w:t>
            </w:r>
            <w:r w:rsidRPr="00C46BC3">
              <w:rPr>
                <w:color w:val="000000" w:themeColor="text1"/>
                <w:sz w:val="14"/>
                <w:szCs w:val="14"/>
              </w:rPr>
              <w:t>: Ein Gemeinde-Beratungsgremium einrichten, um Feedback zu Ladestationsstandorten und zugehörigen Services zu sammeln. Verbesserungsvorschläge aus der Gemeinde und Barrierefreiheit implementieren.</w:t>
            </w:r>
          </w:p>
        </w:tc>
        <w:tc>
          <w:tcPr>
            <w:tcW w:w="2549" w:type="dxa"/>
            <w:shd w:val="clear" w:color="auto" w:fill="FAFAFA"/>
          </w:tcPr>
          <w:p w14:paraId="70EC6C7F" w14:textId="1E5845BC" w:rsidR="0088159D" w:rsidRPr="00C46BC3" w:rsidRDefault="009B2E64" w:rsidP="0088159D">
            <w:pPr>
              <w:rPr>
                <w:color w:val="000000" w:themeColor="text1"/>
                <w:sz w:val="14"/>
                <w:szCs w:val="14"/>
              </w:rPr>
            </w:pPr>
            <w:r w:rsidRPr="00C46BC3">
              <w:rPr>
                <w:color w:val="000000" w:themeColor="text1"/>
                <w:sz w:val="14"/>
                <w:szCs w:val="14"/>
                <w:u w:val="single"/>
              </w:rPr>
              <w:t>Ausweitung der Umweltinitiativen</w:t>
            </w:r>
            <w:r w:rsidRPr="00C46BC3">
              <w:rPr>
                <w:color w:val="000000" w:themeColor="text1"/>
                <w:sz w:val="14"/>
                <w:szCs w:val="14"/>
              </w:rPr>
              <w:t>: Mit gemeinnützigen Organisationen zusammenarbeiten, um umfassendere Umweltprojekte zu realisieren. Durch kommunal organisierte Kunstprojekte für Ladestationen das Engagement steigern.</w:t>
            </w:r>
          </w:p>
        </w:tc>
        <w:tc>
          <w:tcPr>
            <w:tcW w:w="2549" w:type="dxa"/>
          </w:tcPr>
          <w:p w14:paraId="771372A9" w14:textId="7B8BED5D" w:rsidR="003C4D8C" w:rsidRPr="00C46BC3" w:rsidRDefault="009B2E64" w:rsidP="003C4D8C">
            <w:pPr>
              <w:rPr>
                <w:color w:val="000000" w:themeColor="text1"/>
                <w:sz w:val="14"/>
                <w:szCs w:val="14"/>
              </w:rPr>
            </w:pPr>
            <w:r w:rsidRPr="00C46BC3">
              <w:rPr>
                <w:color w:val="000000" w:themeColor="text1"/>
                <w:sz w:val="14"/>
                <w:szCs w:val="14"/>
                <w:u w:val="single"/>
              </w:rPr>
              <w:t>Vermächtnis und Führung</w:t>
            </w:r>
            <w:r w:rsidR="003C4D8C" w:rsidRPr="00C46BC3">
              <w:rPr>
                <w:color w:val="000000" w:themeColor="text1"/>
                <w:sz w:val="14"/>
                <w:szCs w:val="14"/>
              </w:rPr>
              <w:t>: Gesellschaftliche Initiativen zu erneuerbaren Energien und Nachhaltigkeit leiten und Branchenstandards setzen.</w:t>
            </w:r>
          </w:p>
          <w:p w14:paraId="390B3235" w14:textId="1593805A" w:rsidR="0088159D" w:rsidRPr="00C46BC3" w:rsidRDefault="003C4D8C" w:rsidP="003C4D8C">
            <w:pPr>
              <w:rPr>
                <w:color w:val="000000" w:themeColor="text1"/>
                <w:sz w:val="14"/>
                <w:szCs w:val="14"/>
              </w:rPr>
            </w:pPr>
            <w:r w:rsidRPr="00C46BC3">
              <w:rPr>
                <w:color w:val="000000" w:themeColor="text1"/>
                <w:sz w:val="14"/>
                <w:szCs w:val="14"/>
              </w:rPr>
              <w:t xml:space="preserve">Positive Charge-Gemeindezentren für Bildung und Innovation in größeren Städten einrichten. </w:t>
            </w:r>
          </w:p>
        </w:tc>
      </w:tr>
      <w:tr w:rsidR="0088159D" w:rsidRPr="000029E5" w14:paraId="64E03964" w14:textId="77777777" w:rsidTr="00520499">
        <w:trPr>
          <w:trHeight w:val="1384"/>
        </w:trPr>
        <w:tc>
          <w:tcPr>
            <w:tcW w:w="1738" w:type="dxa"/>
            <w:tcBorders>
              <w:right w:val="single" w:sz="18" w:space="0" w:color="CED9D6"/>
            </w:tcBorders>
            <w:shd w:val="clear" w:color="auto" w:fill="FAF9D3"/>
            <w:vAlign w:val="center"/>
          </w:tcPr>
          <w:p w14:paraId="627D3683" w14:textId="3664CE30" w:rsidR="0088159D" w:rsidRPr="008216A9" w:rsidRDefault="00807F13" w:rsidP="0088159D">
            <w:pPr>
              <w:rPr>
                <w:color w:val="000000" w:themeColor="text1"/>
                <w:sz w:val="21"/>
                <w:szCs w:val="21"/>
              </w:rPr>
            </w:pPr>
            <w:r>
              <w:rPr>
                <w:color w:val="000000" w:themeColor="text1"/>
                <w:sz w:val="21"/>
              </w:rPr>
              <w:t>BETRIEB</w:t>
            </w:r>
          </w:p>
        </w:tc>
        <w:tc>
          <w:tcPr>
            <w:tcW w:w="2548" w:type="dxa"/>
            <w:tcBorders>
              <w:left w:val="single" w:sz="18" w:space="0" w:color="CED9D6"/>
            </w:tcBorders>
          </w:tcPr>
          <w:p w14:paraId="78A1221E" w14:textId="6E5E0CEB" w:rsidR="0088159D" w:rsidRPr="00C46BC3" w:rsidRDefault="00030AA4" w:rsidP="0088159D">
            <w:pPr>
              <w:rPr>
                <w:color w:val="000000" w:themeColor="text1"/>
                <w:sz w:val="14"/>
                <w:szCs w:val="14"/>
              </w:rPr>
            </w:pPr>
            <w:r w:rsidRPr="00C46BC3">
              <w:rPr>
                <w:color w:val="000000" w:themeColor="text1"/>
                <w:sz w:val="14"/>
                <w:szCs w:val="14"/>
                <w:u w:val="single"/>
              </w:rPr>
              <w:t>Infrastrukturentwicklung</w:t>
            </w:r>
            <w:r w:rsidRPr="00C46BC3">
              <w:rPr>
                <w:color w:val="000000" w:themeColor="text1"/>
                <w:sz w:val="14"/>
                <w:szCs w:val="14"/>
              </w:rPr>
              <w:t>: 200 neue Ladestationen an strategisch wichtigen Standorten bereitstellen. Moderne Wartungs- und Überwachungssysteme implementieren, um die Zuverlässigkeit zu erhöhen.</w:t>
            </w:r>
          </w:p>
        </w:tc>
        <w:tc>
          <w:tcPr>
            <w:tcW w:w="2549" w:type="dxa"/>
            <w:shd w:val="clear" w:color="auto" w:fill="FAFAFA"/>
          </w:tcPr>
          <w:p w14:paraId="58A6D3A1" w14:textId="49C36EB8" w:rsidR="0088159D" w:rsidRPr="00C46BC3" w:rsidRDefault="00030AA4" w:rsidP="0088159D">
            <w:pPr>
              <w:rPr>
                <w:color w:val="000000" w:themeColor="text1"/>
                <w:sz w:val="14"/>
                <w:szCs w:val="14"/>
              </w:rPr>
            </w:pPr>
            <w:r w:rsidRPr="00C46BC3">
              <w:rPr>
                <w:color w:val="000000" w:themeColor="text1"/>
                <w:sz w:val="14"/>
                <w:szCs w:val="14"/>
                <w:u w:val="single"/>
              </w:rPr>
              <w:t>Effizienz und Zuverlässigkeit</w:t>
            </w:r>
            <w:r w:rsidRPr="00C46BC3">
              <w:rPr>
                <w:color w:val="000000" w:themeColor="text1"/>
                <w:sz w:val="14"/>
                <w:szCs w:val="14"/>
              </w:rPr>
              <w:t>: Mobil-App-Funktionen einführen, um den Kundenservice zu verbessern und operatives Feedback zu ermöglichen. Durch vorausschauende Wartung Ausfallzeiten von Ladestationen um 50 % reduzieren.</w:t>
            </w:r>
          </w:p>
        </w:tc>
        <w:tc>
          <w:tcPr>
            <w:tcW w:w="2549" w:type="dxa"/>
          </w:tcPr>
          <w:p w14:paraId="1311B5B6" w14:textId="6C065AAD" w:rsidR="0088159D" w:rsidRPr="00C46BC3" w:rsidRDefault="00030AA4" w:rsidP="0088159D">
            <w:pPr>
              <w:rPr>
                <w:color w:val="000000" w:themeColor="text1"/>
                <w:sz w:val="14"/>
                <w:szCs w:val="14"/>
              </w:rPr>
            </w:pPr>
            <w:r w:rsidRPr="00C46BC3">
              <w:rPr>
                <w:color w:val="000000" w:themeColor="text1"/>
                <w:sz w:val="14"/>
                <w:szCs w:val="14"/>
                <w:u w:val="single"/>
              </w:rPr>
              <w:t>Skalierbarkeit und Flexibilität</w:t>
            </w:r>
            <w:r w:rsidRPr="00C46BC3">
              <w:rPr>
                <w:color w:val="000000" w:themeColor="text1"/>
                <w:sz w:val="14"/>
                <w:szCs w:val="14"/>
              </w:rPr>
              <w:t>: Modulare Ladestationen für den schnellen Einsatz in neuen Märkten entwickeln. Operative Systeme für internationale Expansionsbereitschaft verbessern.</w:t>
            </w:r>
          </w:p>
        </w:tc>
        <w:tc>
          <w:tcPr>
            <w:tcW w:w="2549" w:type="dxa"/>
            <w:shd w:val="clear" w:color="auto" w:fill="FAFAFA"/>
          </w:tcPr>
          <w:p w14:paraId="2974C203" w14:textId="7F050600" w:rsidR="0088159D" w:rsidRPr="00C46BC3" w:rsidRDefault="00030AA4" w:rsidP="0088159D">
            <w:pPr>
              <w:rPr>
                <w:color w:val="000000" w:themeColor="text1"/>
                <w:sz w:val="14"/>
                <w:szCs w:val="14"/>
              </w:rPr>
            </w:pPr>
            <w:r w:rsidRPr="00C46BC3">
              <w:rPr>
                <w:color w:val="000000" w:themeColor="text1"/>
                <w:sz w:val="14"/>
                <w:szCs w:val="14"/>
                <w:u w:val="single"/>
              </w:rPr>
              <w:t>Integration und neue Technologien</w:t>
            </w:r>
            <w:r w:rsidRPr="00C46BC3">
              <w:rPr>
                <w:color w:val="000000" w:themeColor="text1"/>
                <w:sz w:val="14"/>
                <w:szCs w:val="14"/>
              </w:rPr>
              <w:t>: Solarstrom- und Energiespeicherlösungen an Ladestationen integrieren. Kabellose Ladetechnologie in ausgewählten städtischen Gebieten testen.</w:t>
            </w:r>
          </w:p>
        </w:tc>
        <w:tc>
          <w:tcPr>
            <w:tcW w:w="2549" w:type="dxa"/>
          </w:tcPr>
          <w:p w14:paraId="7F43BE15" w14:textId="1A8CD313" w:rsidR="0088159D" w:rsidRPr="00C46BC3" w:rsidRDefault="00030AA4" w:rsidP="0088159D">
            <w:pPr>
              <w:rPr>
                <w:color w:val="000000" w:themeColor="text1"/>
                <w:sz w:val="14"/>
                <w:szCs w:val="14"/>
              </w:rPr>
            </w:pPr>
            <w:r w:rsidRPr="00C46BC3">
              <w:rPr>
                <w:color w:val="000000" w:themeColor="text1"/>
                <w:sz w:val="14"/>
                <w:szCs w:val="14"/>
                <w:u w:val="single"/>
              </w:rPr>
              <w:t>Zukunftssicherer Betrieb</w:t>
            </w:r>
            <w:r w:rsidRPr="00C46BC3">
              <w:rPr>
                <w:color w:val="000000" w:themeColor="text1"/>
                <w:sz w:val="14"/>
                <w:szCs w:val="14"/>
              </w:rPr>
              <w:t xml:space="preserve">: Mit </w:t>
            </w:r>
            <w:r w:rsidR="00E7380D">
              <w:rPr>
                <w:color w:val="000000" w:themeColor="text1"/>
                <w:sz w:val="14"/>
                <w:szCs w:val="14"/>
              </w:rPr>
              <w:br/>
            </w:r>
            <w:r w:rsidRPr="00C46BC3">
              <w:rPr>
                <w:color w:val="000000" w:themeColor="text1"/>
                <w:sz w:val="14"/>
                <w:szCs w:val="14"/>
              </w:rPr>
              <w:t xml:space="preserve">KI-gesteuerten Analysen und </w:t>
            </w:r>
            <w:r w:rsidR="00E7380D">
              <w:rPr>
                <w:color w:val="000000" w:themeColor="text1"/>
                <w:sz w:val="14"/>
                <w:szCs w:val="14"/>
              </w:rPr>
              <w:br/>
            </w:r>
            <w:r w:rsidRPr="00C46BC3">
              <w:rPr>
                <w:color w:val="000000" w:themeColor="text1"/>
                <w:sz w:val="14"/>
                <w:szCs w:val="14"/>
              </w:rPr>
              <w:t>IoT-Integration volle betriebliche Effizienz erzielen. Sicherstellen, dass alle Betriebsabläufe entsprechend den Nachhaltigkeitszielen zu 100 % mit erneuerbarer Energie betrieben werden.</w:t>
            </w:r>
          </w:p>
        </w:tc>
      </w:tr>
      <w:tr w:rsidR="00BB24E5" w:rsidRPr="000029E5" w14:paraId="6C68E6AA" w14:textId="77777777" w:rsidTr="00A47B7F">
        <w:trPr>
          <w:trHeight w:val="1087"/>
        </w:trPr>
        <w:tc>
          <w:tcPr>
            <w:tcW w:w="1738" w:type="dxa"/>
            <w:tcBorders>
              <w:right w:val="single" w:sz="18" w:space="0" w:color="CED9D6"/>
            </w:tcBorders>
            <w:shd w:val="clear" w:color="auto" w:fill="FAF9D3"/>
            <w:vAlign w:val="center"/>
          </w:tcPr>
          <w:p w14:paraId="52801AD2" w14:textId="6692367A" w:rsidR="00BB24E5" w:rsidRPr="008216A9" w:rsidRDefault="00BB24E5" w:rsidP="0088159D">
            <w:pPr>
              <w:rPr>
                <w:color w:val="000000" w:themeColor="text1"/>
                <w:sz w:val="21"/>
                <w:szCs w:val="21"/>
              </w:rPr>
            </w:pPr>
            <w:r>
              <w:rPr>
                <w:color w:val="000000" w:themeColor="text1"/>
                <w:sz w:val="21"/>
              </w:rPr>
              <w:t>STRATEGISCHE PARTNERSCHAFTEN</w:t>
            </w:r>
          </w:p>
        </w:tc>
        <w:tc>
          <w:tcPr>
            <w:tcW w:w="2548" w:type="dxa"/>
            <w:tcBorders>
              <w:left w:val="single" w:sz="18" w:space="0" w:color="CED9D6"/>
            </w:tcBorders>
          </w:tcPr>
          <w:p w14:paraId="1791BE70" w14:textId="448DB530" w:rsidR="00BB24E5" w:rsidRPr="00C46BC3" w:rsidRDefault="00BB24E5" w:rsidP="0088159D">
            <w:pPr>
              <w:rPr>
                <w:color w:val="000000" w:themeColor="text1"/>
                <w:sz w:val="14"/>
                <w:szCs w:val="14"/>
              </w:rPr>
            </w:pPr>
            <w:r w:rsidRPr="00C46BC3">
              <w:rPr>
                <w:color w:val="000000" w:themeColor="text1"/>
                <w:sz w:val="14"/>
                <w:szCs w:val="14"/>
                <w:u w:val="single"/>
              </w:rPr>
              <w:t>Gründung und Ausrichtung:</w:t>
            </w:r>
            <w:r w:rsidRPr="00C46BC3">
              <w:rPr>
                <w:color w:val="000000" w:themeColor="text1"/>
                <w:sz w:val="14"/>
                <w:szCs w:val="14"/>
              </w:rPr>
              <w:t xml:space="preserve"> Partnerschaften mit Herstellern von Elektrofahrzeugen und lokalen Unternehmen aufbauen, um die Zugänglichkeit von Ladestationen zu verbessern.</w:t>
            </w:r>
          </w:p>
        </w:tc>
        <w:tc>
          <w:tcPr>
            <w:tcW w:w="10196" w:type="dxa"/>
            <w:gridSpan w:val="4"/>
            <w:shd w:val="clear" w:color="auto" w:fill="FAFAFA"/>
          </w:tcPr>
          <w:p w14:paraId="391EC499" w14:textId="7FD7E5CF" w:rsidR="00BB24E5" w:rsidRPr="00C46BC3" w:rsidRDefault="00BB24E5" w:rsidP="0088159D">
            <w:pPr>
              <w:rPr>
                <w:color w:val="000000" w:themeColor="text1"/>
                <w:sz w:val="14"/>
                <w:szCs w:val="14"/>
              </w:rPr>
            </w:pPr>
            <w:r w:rsidRPr="00C46BC3">
              <w:rPr>
                <w:color w:val="000000" w:themeColor="text1"/>
                <w:sz w:val="14"/>
                <w:szCs w:val="14"/>
                <w:u w:val="single"/>
              </w:rPr>
              <w:t>Expansion und Synergie:</w:t>
            </w:r>
            <w:r w:rsidRPr="00C46BC3">
              <w:rPr>
                <w:color w:val="000000" w:themeColor="text1"/>
                <w:sz w:val="14"/>
                <w:szCs w:val="14"/>
              </w:rPr>
              <w:t xml:space="preserve"> Jährliche Überprüfung der Effektivität von Partnerschaften und der strategischen Ausrichtung durchführen, mit dem Ziel, in neue Märkte und Technologien zu expandieren und das Serviceangebot und die Marktpräsenz zu verbessern.</w:t>
            </w:r>
          </w:p>
        </w:tc>
      </w:tr>
      <w:tr w:rsidR="00BB24E5" w:rsidRPr="000029E5" w14:paraId="563DC248" w14:textId="77777777" w:rsidTr="00A47B7F">
        <w:trPr>
          <w:trHeight w:val="979"/>
        </w:trPr>
        <w:tc>
          <w:tcPr>
            <w:tcW w:w="1738" w:type="dxa"/>
            <w:tcBorders>
              <w:right w:val="single" w:sz="18" w:space="0" w:color="CED9D6"/>
            </w:tcBorders>
            <w:shd w:val="clear" w:color="auto" w:fill="FAF9D3"/>
            <w:vAlign w:val="center"/>
          </w:tcPr>
          <w:p w14:paraId="65EB8BB4" w14:textId="5BEB89FF" w:rsidR="00BB24E5" w:rsidRDefault="00EA2E23" w:rsidP="0088159D">
            <w:pPr>
              <w:rPr>
                <w:color w:val="000000" w:themeColor="text1"/>
                <w:sz w:val="21"/>
                <w:szCs w:val="21"/>
              </w:rPr>
            </w:pPr>
            <w:r>
              <w:rPr>
                <w:color w:val="000000" w:themeColor="text1"/>
                <w:sz w:val="21"/>
              </w:rPr>
              <w:t>TECHNOLOGIEENT</w:t>
            </w:r>
            <w:r w:rsidR="00C46BC3">
              <w:rPr>
                <w:color w:val="000000" w:themeColor="text1"/>
                <w:sz w:val="21"/>
              </w:rPr>
              <w:t>-</w:t>
            </w:r>
            <w:r>
              <w:rPr>
                <w:color w:val="000000" w:themeColor="text1"/>
                <w:sz w:val="21"/>
              </w:rPr>
              <w:t>WICKLUNG</w:t>
            </w:r>
          </w:p>
        </w:tc>
        <w:tc>
          <w:tcPr>
            <w:tcW w:w="2548" w:type="dxa"/>
            <w:tcBorders>
              <w:left w:val="single" w:sz="18" w:space="0" w:color="CED9D6"/>
            </w:tcBorders>
          </w:tcPr>
          <w:p w14:paraId="185B5A66" w14:textId="5D66302A" w:rsidR="00BB24E5" w:rsidRPr="00C46BC3" w:rsidRDefault="00EA2E23" w:rsidP="0088159D">
            <w:pPr>
              <w:rPr>
                <w:color w:val="000000" w:themeColor="text1"/>
                <w:sz w:val="14"/>
                <w:szCs w:val="14"/>
                <w:u w:val="single"/>
              </w:rPr>
            </w:pPr>
            <w:r w:rsidRPr="00C46BC3">
              <w:rPr>
                <w:color w:val="000000" w:themeColor="text1"/>
                <w:sz w:val="14"/>
                <w:szCs w:val="14"/>
                <w:u w:val="single"/>
              </w:rPr>
              <w:t>Forschung und Entwicklung:</w:t>
            </w:r>
            <w:r w:rsidRPr="00C46BC3">
              <w:rPr>
                <w:color w:val="000000" w:themeColor="text1"/>
                <w:sz w:val="14"/>
                <w:szCs w:val="14"/>
              </w:rPr>
              <w:t xml:space="preserve"> In Forschung und Entwicklung für schnellere Ladetechnologien und bessere Benutzeroberflächen</w:t>
            </w:r>
            <w:r w:rsidR="00E7380D">
              <w:rPr>
                <w:color w:val="000000" w:themeColor="text1"/>
                <w:sz w:val="14"/>
                <w:szCs w:val="14"/>
              </w:rPr>
              <w:t>-</w:t>
            </w:r>
            <w:r w:rsidRPr="00C46BC3">
              <w:rPr>
                <w:color w:val="000000" w:themeColor="text1"/>
                <w:sz w:val="14"/>
                <w:szCs w:val="14"/>
              </w:rPr>
              <w:t>designs investieren.</w:t>
            </w:r>
          </w:p>
        </w:tc>
        <w:tc>
          <w:tcPr>
            <w:tcW w:w="10196" w:type="dxa"/>
            <w:gridSpan w:val="4"/>
            <w:shd w:val="clear" w:color="auto" w:fill="FAFAFA"/>
          </w:tcPr>
          <w:p w14:paraId="03A7C503" w14:textId="1350088E" w:rsidR="00BB24E5" w:rsidRPr="00C46BC3" w:rsidRDefault="00EA2E23" w:rsidP="0088159D">
            <w:pPr>
              <w:rPr>
                <w:color w:val="000000" w:themeColor="text1"/>
                <w:sz w:val="14"/>
                <w:szCs w:val="14"/>
                <w:u w:val="single"/>
              </w:rPr>
            </w:pPr>
            <w:r w:rsidRPr="00C46BC3">
              <w:rPr>
                <w:color w:val="000000" w:themeColor="text1"/>
                <w:sz w:val="14"/>
                <w:szCs w:val="14"/>
                <w:u w:val="single"/>
              </w:rPr>
              <w:t>Implementierung und Innovation:</w:t>
            </w:r>
            <w:r w:rsidRPr="00C46BC3">
              <w:rPr>
                <w:color w:val="000000" w:themeColor="text1"/>
                <w:sz w:val="14"/>
                <w:szCs w:val="14"/>
              </w:rPr>
              <w:t xml:space="preserve"> </w:t>
            </w:r>
            <w:r w:rsidR="002A17D9" w:rsidRPr="00C46BC3">
              <w:rPr>
                <w:color w:val="000000" w:themeColor="text1"/>
                <w:sz w:val="14"/>
                <w:szCs w:val="14"/>
              </w:rPr>
              <w:t>Neue Technologien und Funktionen mit Fokus auf Kundenkomfort und ökologische Nachhaltigkeit einführen, um sicherzustellen, dass Positive Charge dem technologischen Fortschritt in der EV-Ladebranche immer einen Schritt voraus ist.</w:t>
            </w: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54B26588" w:rsidR="003447E4" w:rsidRPr="009206DB" w:rsidRDefault="00A47B7F" w:rsidP="00A47B7F">
      <w:pPr>
        <w:shd w:val="clear" w:color="auto" w:fill="FFFFFF" w:themeFill="background1"/>
        <w:spacing w:line="240" w:lineRule="auto"/>
        <w:rPr>
          <w:color w:val="595959" w:themeColor="text1" w:themeTint="A6"/>
          <w:sz w:val="20"/>
          <w:szCs w:val="20"/>
        </w:rPr>
        <w:sectPr w:rsidR="003447E4" w:rsidRPr="009206DB" w:rsidSect="008216A9">
          <w:pgSz w:w="15840" w:h="12240" w:orient="landscape"/>
          <w:pgMar w:top="567" w:right="486" w:bottom="585" w:left="720" w:header="0" w:footer="0" w:gutter="0"/>
          <w:pgNumType w:start="1"/>
          <w:cols w:space="720"/>
          <w:docGrid w:linePitch="299"/>
        </w:sectPr>
      </w:pPr>
      <w:r>
        <w:rPr>
          <w:color w:val="595959" w:themeColor="text1" w:themeTint="A6"/>
          <w:sz w:val="20"/>
        </w:rPr>
        <w:t>Dieser strategische 5-Jahres-Business-Plan umfasst die Bereiche finanzielles Wachstum, Marktpositionierung, gesellschaftliches Engagement, operative Exzellenz, strategische Partnerschaften und technologische Innovation, um Positive Charge auf den Weg zu Branchenführerschaft, Innovation und Nachhaltigkeit zu bringen.</w:t>
      </w:r>
    </w:p>
    <w:p w14:paraId="1D41730C" w14:textId="77777777" w:rsidR="005C01C6" w:rsidRPr="00360227" w:rsidRDefault="005C01C6" w:rsidP="00EB075A">
      <w:pPr>
        <w:rPr>
          <w:szCs w:val="20"/>
        </w:rPr>
      </w:pPr>
    </w:p>
    <w:tbl>
      <w:tblPr>
        <w:tblStyle w:val="TableGrid"/>
        <w:tblW w:w="1017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C01C6" w:rsidRPr="00360227" w14:paraId="28384DF7" w14:textId="77777777" w:rsidTr="008D438A">
        <w:trPr>
          <w:trHeight w:val="3107"/>
        </w:trPr>
        <w:tc>
          <w:tcPr>
            <w:tcW w:w="1017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Pr>
                <w:b/>
              </w:rPr>
              <w:t>HAFTUNGSAUSSCHLUSS</w:t>
            </w:r>
          </w:p>
          <w:p w14:paraId="6C0DA57C" w14:textId="77777777" w:rsidR="005C01C6" w:rsidRPr="00360227" w:rsidRDefault="005C01C6" w:rsidP="00EB075A"/>
          <w:p w14:paraId="4A8BCDA9" w14:textId="77777777" w:rsidR="005C01C6" w:rsidRPr="00360227" w:rsidRDefault="005C01C6" w:rsidP="00EB075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7E07" w14:textId="77777777" w:rsidR="008C5F67" w:rsidRDefault="008C5F67" w:rsidP="00C46BC3">
      <w:pPr>
        <w:spacing w:line="240" w:lineRule="auto"/>
      </w:pPr>
      <w:r>
        <w:separator/>
      </w:r>
    </w:p>
  </w:endnote>
  <w:endnote w:type="continuationSeparator" w:id="0">
    <w:p w14:paraId="558640D3" w14:textId="77777777" w:rsidR="008C5F67" w:rsidRDefault="008C5F67" w:rsidP="00C46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D0AA" w14:textId="77777777" w:rsidR="008C5F67" w:rsidRDefault="008C5F67" w:rsidP="00C46BC3">
      <w:pPr>
        <w:spacing w:line="240" w:lineRule="auto"/>
      </w:pPr>
      <w:r>
        <w:separator/>
      </w:r>
    </w:p>
  </w:footnote>
  <w:footnote w:type="continuationSeparator" w:id="0">
    <w:p w14:paraId="66E0322B" w14:textId="77777777" w:rsidR="008C5F67" w:rsidRDefault="008C5F67" w:rsidP="00C46B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30AA4"/>
    <w:rsid w:val="0005173C"/>
    <w:rsid w:val="00053358"/>
    <w:rsid w:val="00066E19"/>
    <w:rsid w:val="000E3EE3"/>
    <w:rsid w:val="00133A8B"/>
    <w:rsid w:val="00146DB2"/>
    <w:rsid w:val="001A376C"/>
    <w:rsid w:val="001A70DD"/>
    <w:rsid w:val="001B4D84"/>
    <w:rsid w:val="001E16F8"/>
    <w:rsid w:val="002A17D9"/>
    <w:rsid w:val="002B75CA"/>
    <w:rsid w:val="002C0411"/>
    <w:rsid w:val="00340487"/>
    <w:rsid w:val="003447E4"/>
    <w:rsid w:val="00360227"/>
    <w:rsid w:val="003A273E"/>
    <w:rsid w:val="003C4D8C"/>
    <w:rsid w:val="003D7EB7"/>
    <w:rsid w:val="003E0901"/>
    <w:rsid w:val="00432C00"/>
    <w:rsid w:val="00482C57"/>
    <w:rsid w:val="004B0414"/>
    <w:rsid w:val="004D1D7C"/>
    <w:rsid w:val="004D69CA"/>
    <w:rsid w:val="005069D7"/>
    <w:rsid w:val="00520499"/>
    <w:rsid w:val="005252F9"/>
    <w:rsid w:val="00533A0B"/>
    <w:rsid w:val="00581D0B"/>
    <w:rsid w:val="005B25F0"/>
    <w:rsid w:val="005C01C6"/>
    <w:rsid w:val="005D2711"/>
    <w:rsid w:val="005F067C"/>
    <w:rsid w:val="005F1960"/>
    <w:rsid w:val="00603E38"/>
    <w:rsid w:val="006C1E61"/>
    <w:rsid w:val="006E2CEC"/>
    <w:rsid w:val="0072047B"/>
    <w:rsid w:val="0073783D"/>
    <w:rsid w:val="0079272D"/>
    <w:rsid w:val="00807301"/>
    <w:rsid w:val="00807F13"/>
    <w:rsid w:val="008216A9"/>
    <w:rsid w:val="00851949"/>
    <w:rsid w:val="00854633"/>
    <w:rsid w:val="00877A23"/>
    <w:rsid w:val="0088159D"/>
    <w:rsid w:val="00887180"/>
    <w:rsid w:val="008A34E6"/>
    <w:rsid w:val="008C5F67"/>
    <w:rsid w:val="008D1479"/>
    <w:rsid w:val="008D438A"/>
    <w:rsid w:val="008F58FD"/>
    <w:rsid w:val="00901FA1"/>
    <w:rsid w:val="009064BB"/>
    <w:rsid w:val="009206DB"/>
    <w:rsid w:val="00954C5C"/>
    <w:rsid w:val="009B2E64"/>
    <w:rsid w:val="009C7289"/>
    <w:rsid w:val="00A245D0"/>
    <w:rsid w:val="00A37433"/>
    <w:rsid w:val="00A43A23"/>
    <w:rsid w:val="00A45C9D"/>
    <w:rsid w:val="00A47B7F"/>
    <w:rsid w:val="00A50CA7"/>
    <w:rsid w:val="00A85C00"/>
    <w:rsid w:val="00AA0FBD"/>
    <w:rsid w:val="00AE47E3"/>
    <w:rsid w:val="00AE5812"/>
    <w:rsid w:val="00B61D3C"/>
    <w:rsid w:val="00B74DDA"/>
    <w:rsid w:val="00BB24E5"/>
    <w:rsid w:val="00BB62A7"/>
    <w:rsid w:val="00C46BC3"/>
    <w:rsid w:val="00C62A39"/>
    <w:rsid w:val="00CD314B"/>
    <w:rsid w:val="00CF1E9D"/>
    <w:rsid w:val="00CF5703"/>
    <w:rsid w:val="00D528A1"/>
    <w:rsid w:val="00D95DB4"/>
    <w:rsid w:val="00E470AA"/>
    <w:rsid w:val="00E7380D"/>
    <w:rsid w:val="00EA2E23"/>
    <w:rsid w:val="00EB075A"/>
    <w:rsid w:val="00ED6AED"/>
    <w:rsid w:val="00F1532F"/>
    <w:rsid w:val="00F64B89"/>
    <w:rsid w:val="00F86FBA"/>
    <w:rsid w:val="00FB1809"/>
    <w:rsid w:val="00FC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C46BC3"/>
    <w:pPr>
      <w:tabs>
        <w:tab w:val="center" w:pos="4513"/>
        <w:tab w:val="right" w:pos="9026"/>
      </w:tabs>
      <w:spacing w:line="240" w:lineRule="auto"/>
    </w:pPr>
  </w:style>
  <w:style w:type="character" w:customStyle="1" w:styleId="HeaderChar">
    <w:name w:val="Header Char"/>
    <w:basedOn w:val="DefaultParagraphFont"/>
    <w:link w:val="Header"/>
    <w:uiPriority w:val="99"/>
    <w:rsid w:val="00C46BC3"/>
    <w:rPr>
      <w:rFonts w:ascii="Century Gothic" w:hAnsi="Century Gothic"/>
    </w:rPr>
  </w:style>
  <w:style w:type="paragraph" w:styleId="Footer">
    <w:name w:val="footer"/>
    <w:basedOn w:val="Normal"/>
    <w:link w:val="FooterChar"/>
    <w:uiPriority w:val="99"/>
    <w:unhideWhenUsed/>
    <w:rsid w:val="00C46BC3"/>
    <w:pPr>
      <w:tabs>
        <w:tab w:val="center" w:pos="4513"/>
        <w:tab w:val="right" w:pos="9026"/>
      </w:tabs>
      <w:spacing w:line="240" w:lineRule="auto"/>
    </w:pPr>
  </w:style>
  <w:style w:type="character" w:customStyle="1" w:styleId="FooterChar">
    <w:name w:val="Footer Char"/>
    <w:basedOn w:val="DefaultParagraphFont"/>
    <w:link w:val="Footer"/>
    <w:uiPriority w:val="99"/>
    <w:rsid w:val="00C46BC3"/>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009602432">
      <w:bodyDiv w:val="1"/>
      <w:marLeft w:val="0"/>
      <w:marRight w:val="0"/>
      <w:marTop w:val="0"/>
      <w:marBottom w:val="0"/>
      <w:divBdr>
        <w:top w:val="none" w:sz="0" w:space="0" w:color="auto"/>
        <w:left w:val="none" w:sz="0" w:space="0" w:color="auto"/>
        <w:bottom w:val="none" w:sz="0" w:space="0" w:color="auto"/>
        <w:right w:val="none" w:sz="0" w:space="0" w:color="auto"/>
      </w:divBdr>
    </w:div>
    <w:div w:id="1156726281">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34546518">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6617</Characters>
  <Application>Microsoft Office Word</Application>
  <DocSecurity>0</DocSecurity>
  <Lines>264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8</cp:revision>
  <dcterms:created xsi:type="dcterms:W3CDTF">2024-05-29T23:00:00Z</dcterms:created>
  <dcterms:modified xsi:type="dcterms:W3CDTF">2024-09-17T03:51:00Z</dcterms:modified>
</cp:coreProperties>
</file>