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German"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German"/>
        </w:rPr>
        <w:t>die Ursachenanalyse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val="German"/>
        </w:rPr>
        <w:t xml:space="preserve"> Vorlage für 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PROJEKTTITEL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VERFASSER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ZUSAMMENFASSUNG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KURZER VORFALLÜBERBLICK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VORFALLTYP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BEWERTUNGSMETHODEN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URSACHEN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EMPFEHLUNGEN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DES VORFALLS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SCHWEREGRAD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BESCHREIBUNG DES VORFALLS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ERKLÄRUNG ZU VORFÄLLEN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ERWARTETE ERGEBNISSE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WIE DER VORFALL IDENTIFIZIERT WURDE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WER HAT DEN VORFALL IDENTIFIZIERT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VORFALLHINTERGRUND / KONTEXT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AUSWIRKUNGEN DES VORFALLS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TEAMMITGLIEDER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MITGLIEDSNAME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ABTEILUNG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ROLLE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QUALIFIKATION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VERANTWORTUNG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UMFANG DES BEWERTUNGS- UND BEWERTUNGSPROZESSES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STRENGE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UMFANG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BEWERTUNGSPROZESS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DATENSAMMLUNG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METHODE DER DATENERFASSUNG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DATEN-MAPPING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VON ERHOBENE DATEN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DER DATENERHEBUNG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DATENVALIDIERUNGSMETHODE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DER DATENVALIDIERUNG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CHRONOLOGIE DER VORFÄLLE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UND UHRZEIT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VORFALL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METHODIK DER DATENANALYSE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ANALYSEMETHODEN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FALL FÜR GEWÄHLTE METHODEN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ELIMINIERTE METHODEN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ANALYSEERGEBNISSE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BEWEISKRÄFTIGE REFERENZEN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URSACHEN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IDENTIFIZIERTE URSACHEN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IDENTIFIZIERUNGSMETHODE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VALIDIERUNGSMETHODE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DEFINIERTE EFFEKTE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WAS WIR GELERNT HABEN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MÖGLICHE PRÄVENTIONSMETHODEN / -MASSNAHMEN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ANALYSE AUSWIRKUNGEN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VORGESCHLAGENE ABHILFE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AUFLÖSUNG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EMPFOHLENE MASSNAHMEN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MASSNAHMEN, DIE ZUR VERBESSERUNG DER SITUATION ERFORDERLICH SIND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LÖSUNGSIMPLEMENTIERUNGSPLAN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TRACKING-METHODE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ÜBERWACHUNGSMETHODE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val="German"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SCHLUSSFOLGERUNG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ZUSAMMENFASSUNG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VERMEIDUNG VON WIEDERHOLTEN VORFÄLLEN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ANALYSE-VERTEILUNGSPLAN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VERSIONSVERFOLGUNG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VERSIONSNAME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NAME UND TITEL DES REVISIONSINITIATORS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REVISIONSDETAILS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DATUM DER ÜBERARBEITUNG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German"/>
              </w:rPr>
              <w:t>VORGESCHLAGENE SUPPORT-DOKUMENTATION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ART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German"/>
              </w:rPr>
              <w:t>KOMMENTARE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Aktionsplan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Ursache-Wirkungs-Diagramm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Team-Flussdiagramm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Problemzuordnung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German"/>
              </w:rPr>
              <w:t>Betriebsmittel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9276&amp;utm_language=DE&amp;utm_source=integrated+content&amp;utm_campaign=/14-free-program-management-templates&amp;utm_medium=ic+rootcauseanalysis+de&amp;lpa=ic+rootcauseanalysis+de&amp;lx=jazGWVt6qlFVesJIxmZmqA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276&amp;utm_language=DE&amp;utm_source=integrated+content&amp;utm_campaign=/14-free-program-management-templates&amp;utm_medium=ic+rootcauseanalysis+de&amp;lpa=ic+rootcauseanalysis+de&amp;lx=jazGWVt6qlFVesJIxmZmqABAgeTPLDIL8TQRu558b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