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140832D5"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7205490</wp:posOffset>
            </wp:positionH>
            <wp:positionV relativeFrom="paragraph">
              <wp:posOffset>-4445</wp:posOffset>
            </wp:positionV>
            <wp:extent cx="2132958" cy="296003"/>
            <wp:effectExtent l="0" t="0" r="1270" b="889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32958" cy="2960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Pr="004616FB" w:rsidR="004616FB">
        <w:rPr>
          <w:b/>
          <w:color w:val="808080" w:themeColor="background1" w:themeShade="80"/>
          <w:sz w:val="36"/>
          <w:lang w:val="German"/>
        </w:rPr>
        <w:t>REMOTE-KOMMUNIKATIONS-DOs UND DO'Ts</w:t>
      </w:r>
    </w:p>
    <w:p w:rsidR="004616FB" w:rsidP="006B4529" w14:paraId="1992D61F" w14:textId="77777777">
      <w:pPr>
        <w:bidi w:val="false"/>
        <w:rPr>
          <w:szCs w:val="20"/>
        </w:rPr>
      </w:pPr>
    </w:p>
    <w:tbl>
      <w:tblPr>
        <w:tblW w:w="14688" w:type="dxa"/>
        <w:tblCellMar>
          <w:left w:w="144" w:type="dxa"/>
          <w:right w:w="115" w:type="dxa"/>
        </w:tblCellMar>
        <w:tblLook w:val="04A0"/>
      </w:tblPr>
      <w:tblGrid>
        <w:gridCol w:w="3312"/>
        <w:gridCol w:w="8064"/>
        <w:gridCol w:w="3312"/>
      </w:tblGrid>
      <w:tr w:rsidTr="004616FB" w14:paraId="360F4ECE" w14:textId="77777777">
        <w:tblPrEx>
          <w:tblW w:w="14688" w:type="dxa"/>
          <w:tblCellMar>
            <w:left w:w="144" w:type="dxa"/>
            <w:right w:w="115" w:type="dxa"/>
          </w:tblCellMar>
          <w:tblLook w:val="04A0"/>
        </w:tblPrEx>
        <w:trPr>
          <w:trHeight w:val="576"/>
        </w:trPr>
        <w:tc>
          <w:tcPr>
            <w:tcW w:w="3312" w:type="dxa"/>
            <w:tcBorders>
              <w:top w:val="single" w:color="BFBFBF" w:themeColor="background1" w:themeShade="BF" w:sz="36" w:space="0"/>
              <w:left w:val="single" w:color="BFBFBF" w:sz="4" w:space="0"/>
              <w:bottom w:val="single" w:color="BFBFBF" w:sz="4" w:space="0"/>
              <w:right w:val="nil"/>
            </w:tcBorders>
            <w:shd w:val="clear" w:color="000000" w:fill="00BD32"/>
            <w:tcMar>
              <w:left w:w="173" w:type="dxa"/>
            </w:tcMar>
            <w:vAlign w:val="center"/>
            <w:hideMark/>
          </w:tcPr>
          <w:p w:rsidRPr="004616FB" w:rsidR="004616FB" w:rsidP="004616FB" w14:paraId="312D1457" w14:textId="77777777">
            <w:pPr>
              <w:bidi w:val="false"/>
              <w:rPr>
                <w:color w:val="000000"/>
                <w:sz w:val="32"/>
                <w:szCs w:val="32"/>
              </w:rPr>
            </w:pPr>
            <w:r w:rsidRPr="004616FB">
              <w:rPr>
                <w:color w:val="000000"/>
                <w:sz w:val="32"/>
                <w:szCs w:val="32"/>
                <w:lang w:val="German"/>
              </w:rPr>
              <w:t>TUN</w:t>
            </w:r>
          </w:p>
        </w:tc>
        <w:tc>
          <w:tcPr>
            <w:tcW w:w="8064" w:type="dxa"/>
            <w:tcBorders>
              <w:top w:val="single" w:color="BFBFBF" w:themeColor="background1" w:themeShade="BF" w:sz="36" w:space="0"/>
              <w:left w:val="dashed" w:color="BFBFBF" w:sz="4" w:space="0"/>
              <w:bottom w:val="single" w:color="BFBFBF" w:sz="4" w:space="0"/>
              <w:right w:val="single" w:color="BFBFBF" w:sz="4" w:space="0"/>
            </w:tcBorders>
            <w:shd w:val="clear" w:color="000000" w:fill="92D050"/>
            <w:tcMar>
              <w:left w:w="173" w:type="dxa"/>
            </w:tcMar>
            <w:vAlign w:val="center"/>
            <w:hideMark/>
          </w:tcPr>
          <w:p w:rsidRPr="004616FB" w:rsidR="004616FB" w:rsidP="004616FB" w14:paraId="29722679" w14:textId="77777777">
            <w:pPr>
              <w:bidi w:val="false"/>
              <w:rPr>
                <w:color w:val="000000"/>
                <w:sz w:val="32"/>
                <w:szCs w:val="32"/>
              </w:rPr>
            </w:pPr>
            <w:r w:rsidRPr="004616FB">
              <w:rPr>
                <w:color w:val="000000"/>
                <w:sz w:val="32"/>
                <w:szCs w:val="32"/>
                <w:lang w:val="German"/>
              </w:rPr>
              <w:t>GEPLANTE / DURCHGEFÜHRTE MASSNAHMEN</w:t>
            </w:r>
          </w:p>
        </w:tc>
        <w:tc>
          <w:tcPr>
            <w:tcW w:w="3312" w:type="dxa"/>
            <w:tcBorders>
              <w:top w:val="single" w:color="BFBFBF" w:themeColor="background1" w:themeShade="BF" w:sz="36" w:space="0"/>
              <w:left w:val="nil"/>
              <w:bottom w:val="single" w:color="BFBFBF" w:sz="4" w:space="0"/>
              <w:right w:val="single" w:color="BFBFBF" w:themeColor="background1" w:themeShade="BF" w:sz="18" w:space="0"/>
            </w:tcBorders>
            <w:shd w:val="clear" w:color="000000" w:fill="FFC000"/>
            <w:tcMar>
              <w:left w:w="173" w:type="dxa"/>
            </w:tcMar>
            <w:vAlign w:val="center"/>
            <w:hideMark/>
          </w:tcPr>
          <w:p w:rsidRPr="004616FB" w:rsidR="004616FB" w:rsidP="004616FB" w14:paraId="1B3AB3C5" w14:textId="77777777">
            <w:pPr>
              <w:bidi w:val="false"/>
              <w:rPr>
                <w:color w:val="000000"/>
                <w:sz w:val="32"/>
                <w:szCs w:val="32"/>
              </w:rPr>
            </w:pPr>
            <w:r w:rsidRPr="004616FB">
              <w:rPr>
                <w:color w:val="000000"/>
                <w:sz w:val="32"/>
                <w:szCs w:val="32"/>
                <w:lang w:val="German"/>
              </w:rPr>
              <w:t>TUE NICHT</w:t>
            </w:r>
          </w:p>
        </w:tc>
      </w:tr>
      <w:tr w:rsidTr="004616FB" w14:paraId="0E31C060" w14:textId="77777777">
        <w:tblPrEx>
          <w:tblW w:w="14688" w:type="dxa"/>
          <w:tblCellMar>
            <w:left w:w="144" w:type="dxa"/>
            <w:right w:w="115" w:type="dxa"/>
          </w:tblCellMar>
          <w:tblLook w:val="04A0"/>
        </w:tblPrEx>
        <w:trPr>
          <w:trHeight w:val="1555"/>
        </w:trPr>
        <w:tc>
          <w:tcPr>
            <w:tcW w:w="3312" w:type="dxa"/>
            <w:tcBorders>
              <w:top w:val="nil"/>
              <w:left w:val="single" w:color="BFBFBF" w:sz="4" w:space="0"/>
              <w:bottom w:val="single" w:color="BFBFBF" w:sz="4" w:space="0"/>
              <w:right w:val="nil"/>
            </w:tcBorders>
            <w:shd w:val="clear" w:color="000000" w:fill="DEF1CA"/>
            <w:tcMar>
              <w:top w:w="144" w:type="dxa"/>
              <w:left w:w="173" w:type="dxa"/>
              <w:bottom w:w="144" w:type="dxa"/>
              <w:right w:w="115" w:type="dxa"/>
            </w:tcMar>
            <w:hideMark/>
          </w:tcPr>
          <w:p w:rsidRPr="004616FB" w:rsidR="004616FB" w:rsidP="004616FB" w14:paraId="044EFE32" w14:textId="77777777">
            <w:pPr>
              <w:bidi w:val="false"/>
              <w:rPr>
                <w:color w:val="000000"/>
                <w:sz w:val="21"/>
                <w:szCs w:val="21"/>
              </w:rPr>
            </w:pPr>
            <w:r w:rsidRPr="004616FB">
              <w:rPr>
                <w:color w:val="000000"/>
                <w:sz w:val="21"/>
                <w:szCs w:val="21"/>
                <w:lang w:val="German"/>
              </w:rPr>
              <w:t>Teilen Sie Branchenneuigkeiten.</w:t>
            </w:r>
          </w:p>
        </w:tc>
        <w:tc>
          <w:tcPr>
            <w:tcW w:w="8064" w:type="dxa"/>
            <w:tcBorders>
              <w:top w:val="nil"/>
              <w:left w:val="dashed" w:color="BFBFBF" w:sz="4" w:space="0"/>
              <w:bottom w:val="single" w:color="BFBFBF" w:sz="4" w:space="0"/>
              <w:right w:val="single" w:color="BFBFBF" w:sz="4" w:space="0"/>
            </w:tcBorders>
            <w:shd w:val="clear" w:color="auto" w:fill="auto"/>
            <w:tcMar>
              <w:top w:w="144" w:type="dxa"/>
              <w:left w:w="173" w:type="dxa"/>
              <w:bottom w:w="144" w:type="dxa"/>
              <w:right w:w="115" w:type="dxa"/>
            </w:tcMar>
            <w:hideMark/>
          </w:tcPr>
          <w:p w:rsidRPr="004616FB" w:rsidR="004616FB" w:rsidP="004616FB" w14:paraId="657A70F8" w14:textId="77777777">
            <w:pPr>
              <w:bidi w:val="false"/>
              <w:rPr>
                <w:color w:val="000000"/>
                <w:sz w:val="21"/>
                <w:szCs w:val="21"/>
              </w:rPr>
            </w:pPr>
            <w:r w:rsidRPr="004616FB">
              <w:rPr>
                <w:color w:val="000000"/>
                <w:sz w:val="21"/>
                <w:szCs w:val="21"/>
                <w:lang w:val="German"/>
              </w:rPr>
              <w:t xml:space="preserve"> </w:t>
            </w:r>
          </w:p>
        </w:tc>
        <w:tc>
          <w:tcPr>
            <w:tcW w:w="3312" w:type="dxa"/>
            <w:tcBorders>
              <w:top w:val="single" w:color="BFBFBF" w:sz="4" w:space="0"/>
              <w:left w:val="nil"/>
              <w:bottom w:val="single" w:color="BFBFBF" w:sz="4" w:space="0"/>
              <w:right w:val="single" w:color="BFBFBF" w:themeColor="background1" w:themeShade="BF" w:sz="18" w:space="0"/>
            </w:tcBorders>
            <w:shd w:val="clear" w:color="000000" w:fill="FFF2CC"/>
            <w:tcMar>
              <w:top w:w="144" w:type="dxa"/>
              <w:left w:w="173" w:type="dxa"/>
              <w:bottom w:w="144" w:type="dxa"/>
              <w:right w:w="115" w:type="dxa"/>
            </w:tcMar>
            <w:hideMark/>
          </w:tcPr>
          <w:p w:rsidRPr="004616FB" w:rsidR="004616FB" w:rsidP="004616FB" w14:paraId="254CCBC3" w14:textId="77777777">
            <w:pPr>
              <w:bidi w:val="false"/>
              <w:rPr>
                <w:color w:val="000000"/>
                <w:sz w:val="21"/>
                <w:szCs w:val="21"/>
              </w:rPr>
            </w:pPr>
            <w:r w:rsidRPr="004616FB">
              <w:rPr>
                <w:color w:val="000000"/>
                <w:sz w:val="21"/>
                <w:szCs w:val="21"/>
                <w:lang w:val="German"/>
              </w:rPr>
              <w:t>Überkommunizieren.</w:t>
            </w:r>
          </w:p>
        </w:tc>
      </w:tr>
      <w:tr w:rsidTr="004616FB" w14:paraId="23FB2984" w14:textId="77777777">
        <w:tblPrEx>
          <w:tblW w:w="14688" w:type="dxa"/>
          <w:tblCellMar>
            <w:left w:w="144" w:type="dxa"/>
            <w:right w:w="115" w:type="dxa"/>
          </w:tblCellMar>
          <w:tblLook w:val="04A0"/>
        </w:tblPrEx>
        <w:trPr>
          <w:trHeight w:val="1555"/>
        </w:trPr>
        <w:tc>
          <w:tcPr>
            <w:tcW w:w="3312" w:type="dxa"/>
            <w:tcBorders>
              <w:top w:val="nil"/>
              <w:left w:val="single" w:color="BFBFBF" w:sz="4" w:space="0"/>
              <w:bottom w:val="single" w:color="BFBFBF" w:sz="4" w:space="0"/>
              <w:right w:val="nil"/>
            </w:tcBorders>
            <w:shd w:val="clear" w:color="000000" w:fill="DEF1CA"/>
            <w:tcMar>
              <w:top w:w="144" w:type="dxa"/>
              <w:left w:w="173" w:type="dxa"/>
              <w:bottom w:w="144" w:type="dxa"/>
              <w:right w:w="115" w:type="dxa"/>
            </w:tcMar>
            <w:hideMark/>
          </w:tcPr>
          <w:p w:rsidRPr="004616FB" w:rsidR="004616FB" w:rsidP="004616FB" w14:paraId="25ADCFC2" w14:textId="77777777">
            <w:pPr>
              <w:bidi w:val="false"/>
              <w:rPr>
                <w:color w:val="000000"/>
                <w:sz w:val="21"/>
                <w:szCs w:val="21"/>
              </w:rPr>
            </w:pPr>
            <w:r w:rsidRPr="004616FB">
              <w:rPr>
                <w:color w:val="000000"/>
                <w:sz w:val="21"/>
                <w:szCs w:val="21"/>
                <w:lang w:val="German"/>
              </w:rPr>
              <w:t>Erinnern Sie das Team an den gemeinsamen Zweck.</w:t>
            </w:r>
          </w:p>
        </w:tc>
        <w:tc>
          <w:tcPr>
            <w:tcW w:w="8064" w:type="dxa"/>
            <w:tcBorders>
              <w:top w:val="nil"/>
              <w:left w:val="dashed" w:color="BFBFBF" w:sz="4" w:space="0"/>
              <w:bottom w:val="single" w:color="BFBFBF" w:sz="4" w:space="0"/>
              <w:right w:val="single" w:color="BFBFBF" w:sz="4" w:space="0"/>
            </w:tcBorders>
            <w:shd w:val="clear" w:color="auto" w:fill="auto"/>
            <w:tcMar>
              <w:top w:w="144" w:type="dxa"/>
              <w:left w:w="173" w:type="dxa"/>
              <w:bottom w:w="144" w:type="dxa"/>
              <w:right w:w="115" w:type="dxa"/>
            </w:tcMar>
            <w:hideMark/>
          </w:tcPr>
          <w:p w:rsidRPr="004616FB" w:rsidR="004616FB" w:rsidP="004616FB" w14:paraId="180817C0" w14:textId="77777777">
            <w:pPr>
              <w:bidi w:val="false"/>
              <w:rPr>
                <w:color w:val="000000"/>
                <w:sz w:val="21"/>
                <w:szCs w:val="21"/>
              </w:rPr>
            </w:pPr>
            <w:r w:rsidRPr="004616FB">
              <w:rPr>
                <w:color w:val="000000"/>
                <w:sz w:val="21"/>
                <w:szCs w:val="21"/>
                <w:lang w:val="German"/>
              </w:rPr>
              <w:t xml:space="preserve"> </w:t>
            </w:r>
          </w:p>
        </w:tc>
        <w:tc>
          <w:tcPr>
            <w:tcW w:w="3312" w:type="dxa"/>
            <w:tcBorders>
              <w:top w:val="single" w:color="BFBFBF" w:sz="4" w:space="0"/>
              <w:left w:val="nil"/>
              <w:bottom w:val="single" w:color="BFBFBF" w:sz="4" w:space="0"/>
              <w:right w:val="single" w:color="BFBFBF" w:themeColor="background1" w:themeShade="BF" w:sz="18" w:space="0"/>
            </w:tcBorders>
            <w:shd w:val="clear" w:color="000000" w:fill="FFF2CC"/>
            <w:tcMar>
              <w:top w:w="144" w:type="dxa"/>
              <w:left w:w="173" w:type="dxa"/>
              <w:bottom w:w="144" w:type="dxa"/>
              <w:right w:w="115" w:type="dxa"/>
            </w:tcMar>
            <w:hideMark/>
          </w:tcPr>
          <w:p w:rsidRPr="004616FB" w:rsidR="004616FB" w:rsidP="004616FB" w14:paraId="0983E52A" w14:textId="77777777">
            <w:pPr>
              <w:bidi w:val="false"/>
              <w:rPr>
                <w:color w:val="000000"/>
                <w:sz w:val="21"/>
                <w:szCs w:val="21"/>
              </w:rPr>
            </w:pPr>
            <w:r w:rsidRPr="004616FB">
              <w:rPr>
                <w:color w:val="000000"/>
                <w:sz w:val="21"/>
                <w:szCs w:val="21"/>
                <w:lang w:val="German"/>
              </w:rPr>
              <w:t>Machen Sie Annahmen.</w:t>
            </w:r>
          </w:p>
        </w:tc>
      </w:tr>
      <w:tr w:rsidTr="004616FB" w14:paraId="5FFAD74C" w14:textId="77777777">
        <w:tblPrEx>
          <w:tblW w:w="14688" w:type="dxa"/>
          <w:tblCellMar>
            <w:left w:w="144" w:type="dxa"/>
            <w:right w:w="115" w:type="dxa"/>
          </w:tblCellMar>
          <w:tblLook w:val="04A0"/>
        </w:tblPrEx>
        <w:trPr>
          <w:trHeight w:val="1555"/>
        </w:trPr>
        <w:tc>
          <w:tcPr>
            <w:tcW w:w="3312" w:type="dxa"/>
            <w:tcBorders>
              <w:top w:val="nil"/>
              <w:left w:val="single" w:color="BFBFBF" w:sz="4" w:space="0"/>
              <w:bottom w:val="single" w:color="BFBFBF" w:sz="4" w:space="0"/>
              <w:right w:val="nil"/>
            </w:tcBorders>
            <w:shd w:val="clear" w:color="000000" w:fill="DEF1CA"/>
            <w:tcMar>
              <w:top w:w="144" w:type="dxa"/>
              <w:left w:w="173" w:type="dxa"/>
              <w:bottom w:w="144" w:type="dxa"/>
              <w:right w:w="115" w:type="dxa"/>
            </w:tcMar>
            <w:hideMark/>
          </w:tcPr>
          <w:p w:rsidRPr="004616FB" w:rsidR="004616FB" w:rsidP="004616FB" w14:paraId="75747BB3" w14:textId="77777777">
            <w:pPr>
              <w:bidi w:val="false"/>
              <w:rPr>
                <w:color w:val="000000"/>
                <w:sz w:val="21"/>
                <w:szCs w:val="21"/>
              </w:rPr>
            </w:pPr>
            <w:r w:rsidRPr="004616FB">
              <w:rPr>
                <w:color w:val="000000"/>
                <w:sz w:val="21"/>
                <w:szCs w:val="21"/>
                <w:lang w:val="German"/>
              </w:rPr>
              <w:t>Setzen Sie sich durch.</w:t>
            </w:r>
          </w:p>
        </w:tc>
        <w:tc>
          <w:tcPr>
            <w:tcW w:w="8064" w:type="dxa"/>
            <w:tcBorders>
              <w:top w:val="nil"/>
              <w:left w:val="dashed" w:color="BFBFBF" w:sz="4" w:space="0"/>
              <w:bottom w:val="single" w:color="BFBFBF" w:sz="4" w:space="0"/>
              <w:right w:val="single" w:color="BFBFBF" w:sz="4" w:space="0"/>
            </w:tcBorders>
            <w:shd w:val="clear" w:color="auto" w:fill="auto"/>
            <w:tcMar>
              <w:top w:w="144" w:type="dxa"/>
              <w:left w:w="173" w:type="dxa"/>
              <w:bottom w:w="144" w:type="dxa"/>
              <w:right w:w="115" w:type="dxa"/>
            </w:tcMar>
            <w:hideMark/>
          </w:tcPr>
          <w:p w:rsidRPr="004616FB" w:rsidR="004616FB" w:rsidP="004616FB" w14:paraId="10BA7E90" w14:textId="77777777">
            <w:pPr>
              <w:bidi w:val="false"/>
              <w:rPr>
                <w:color w:val="000000"/>
                <w:sz w:val="21"/>
                <w:szCs w:val="21"/>
              </w:rPr>
            </w:pPr>
            <w:r w:rsidRPr="004616FB">
              <w:rPr>
                <w:color w:val="000000"/>
                <w:sz w:val="21"/>
                <w:szCs w:val="21"/>
                <w:lang w:val="German"/>
              </w:rPr>
              <w:t xml:space="preserve"> </w:t>
            </w:r>
          </w:p>
        </w:tc>
        <w:tc>
          <w:tcPr>
            <w:tcW w:w="3312" w:type="dxa"/>
            <w:tcBorders>
              <w:top w:val="single" w:color="BFBFBF" w:sz="4" w:space="0"/>
              <w:left w:val="nil"/>
              <w:bottom w:val="single" w:color="BFBFBF" w:sz="4" w:space="0"/>
              <w:right w:val="single" w:color="BFBFBF" w:themeColor="background1" w:themeShade="BF" w:sz="18" w:space="0"/>
            </w:tcBorders>
            <w:shd w:val="clear" w:color="000000" w:fill="FFF2CC"/>
            <w:tcMar>
              <w:top w:w="144" w:type="dxa"/>
              <w:left w:w="173" w:type="dxa"/>
              <w:bottom w:w="144" w:type="dxa"/>
              <w:right w:w="115" w:type="dxa"/>
            </w:tcMar>
            <w:hideMark/>
          </w:tcPr>
          <w:p w:rsidRPr="004616FB" w:rsidR="004616FB" w:rsidP="004616FB" w14:paraId="5D960997" w14:textId="77777777">
            <w:pPr>
              <w:bidi w:val="false"/>
              <w:rPr>
                <w:color w:val="000000"/>
                <w:sz w:val="21"/>
                <w:szCs w:val="21"/>
              </w:rPr>
            </w:pPr>
            <w:r w:rsidRPr="004616FB">
              <w:rPr>
                <w:color w:val="000000"/>
                <w:sz w:val="21"/>
                <w:szCs w:val="21"/>
                <w:lang w:val="German"/>
              </w:rPr>
              <w:t xml:space="preserve"> </w:t>
            </w:r>
          </w:p>
        </w:tc>
      </w:tr>
      <w:tr w:rsidTr="004616FB" w14:paraId="06546E42" w14:textId="77777777">
        <w:tblPrEx>
          <w:tblW w:w="14688" w:type="dxa"/>
          <w:tblCellMar>
            <w:left w:w="144" w:type="dxa"/>
            <w:right w:w="115" w:type="dxa"/>
          </w:tblCellMar>
          <w:tblLook w:val="04A0"/>
        </w:tblPrEx>
        <w:trPr>
          <w:trHeight w:val="1555"/>
        </w:trPr>
        <w:tc>
          <w:tcPr>
            <w:tcW w:w="3312" w:type="dxa"/>
            <w:tcBorders>
              <w:top w:val="nil"/>
              <w:left w:val="single" w:color="BFBFBF" w:sz="4" w:space="0"/>
              <w:bottom w:val="single" w:color="BFBFBF" w:sz="4" w:space="0"/>
              <w:right w:val="nil"/>
            </w:tcBorders>
            <w:shd w:val="clear" w:color="000000" w:fill="DEF1CA"/>
            <w:tcMar>
              <w:top w:w="144" w:type="dxa"/>
              <w:left w:w="173" w:type="dxa"/>
              <w:bottom w:w="144" w:type="dxa"/>
              <w:right w:w="115" w:type="dxa"/>
            </w:tcMar>
            <w:hideMark/>
          </w:tcPr>
          <w:p w:rsidRPr="004616FB" w:rsidR="004616FB" w:rsidP="004616FB" w14:paraId="35225899" w14:textId="77777777">
            <w:pPr>
              <w:bidi w:val="false"/>
              <w:rPr>
                <w:color w:val="000000"/>
                <w:sz w:val="21"/>
                <w:szCs w:val="21"/>
              </w:rPr>
            </w:pPr>
            <w:r w:rsidRPr="004616FB">
              <w:rPr>
                <w:color w:val="000000"/>
                <w:sz w:val="21"/>
                <w:szCs w:val="21"/>
                <w:lang w:val="German"/>
              </w:rPr>
              <w:t>Seien Sie offen über Ihre Bedürfnisse.</w:t>
            </w:r>
          </w:p>
        </w:tc>
        <w:tc>
          <w:tcPr>
            <w:tcW w:w="8064" w:type="dxa"/>
            <w:tcBorders>
              <w:top w:val="nil"/>
              <w:left w:val="dashed" w:color="BFBFBF" w:sz="4" w:space="0"/>
              <w:bottom w:val="single" w:color="BFBFBF" w:sz="4" w:space="0"/>
              <w:right w:val="single" w:color="BFBFBF" w:sz="4" w:space="0"/>
            </w:tcBorders>
            <w:shd w:val="clear" w:color="auto" w:fill="auto"/>
            <w:tcMar>
              <w:top w:w="144" w:type="dxa"/>
              <w:left w:w="173" w:type="dxa"/>
              <w:bottom w:w="144" w:type="dxa"/>
              <w:right w:w="115" w:type="dxa"/>
            </w:tcMar>
            <w:hideMark/>
          </w:tcPr>
          <w:p w:rsidRPr="004616FB" w:rsidR="004616FB" w:rsidP="004616FB" w14:paraId="01ADC532" w14:textId="77777777">
            <w:pPr>
              <w:bidi w:val="false"/>
              <w:rPr>
                <w:color w:val="000000"/>
                <w:sz w:val="21"/>
                <w:szCs w:val="21"/>
              </w:rPr>
            </w:pPr>
            <w:r w:rsidRPr="004616FB">
              <w:rPr>
                <w:color w:val="000000"/>
                <w:sz w:val="21"/>
                <w:szCs w:val="21"/>
                <w:lang w:val="German"/>
              </w:rPr>
              <w:t xml:space="preserve"> </w:t>
            </w:r>
          </w:p>
        </w:tc>
        <w:tc>
          <w:tcPr>
            <w:tcW w:w="3312" w:type="dxa"/>
            <w:tcBorders>
              <w:top w:val="single" w:color="BFBFBF" w:sz="4" w:space="0"/>
              <w:left w:val="nil"/>
              <w:bottom w:val="single" w:color="BFBFBF" w:sz="4" w:space="0"/>
              <w:right w:val="single" w:color="BFBFBF" w:themeColor="background1" w:themeShade="BF" w:sz="18" w:space="0"/>
            </w:tcBorders>
            <w:shd w:val="clear" w:color="000000" w:fill="FFF2CC"/>
            <w:tcMar>
              <w:top w:w="144" w:type="dxa"/>
              <w:left w:w="173" w:type="dxa"/>
              <w:bottom w:w="144" w:type="dxa"/>
              <w:right w:w="115" w:type="dxa"/>
            </w:tcMar>
            <w:hideMark/>
          </w:tcPr>
          <w:p w:rsidRPr="004616FB" w:rsidR="004616FB" w:rsidP="004616FB" w14:paraId="0272B9F4" w14:textId="77777777">
            <w:pPr>
              <w:bidi w:val="false"/>
              <w:rPr>
                <w:color w:val="000000"/>
                <w:sz w:val="21"/>
                <w:szCs w:val="21"/>
              </w:rPr>
            </w:pPr>
            <w:r w:rsidRPr="004616FB">
              <w:rPr>
                <w:color w:val="000000"/>
                <w:sz w:val="21"/>
                <w:szCs w:val="21"/>
                <w:lang w:val="German"/>
              </w:rPr>
              <w:t xml:space="preserve"> </w:t>
            </w:r>
          </w:p>
        </w:tc>
      </w:tr>
      <w:tr w:rsidTr="004616FB" w14:paraId="16002CB9" w14:textId="77777777">
        <w:tblPrEx>
          <w:tblW w:w="14688" w:type="dxa"/>
          <w:tblCellMar>
            <w:left w:w="144" w:type="dxa"/>
            <w:right w:w="115" w:type="dxa"/>
          </w:tblCellMar>
          <w:tblLook w:val="04A0"/>
        </w:tblPrEx>
        <w:trPr>
          <w:trHeight w:val="1555"/>
        </w:trPr>
        <w:tc>
          <w:tcPr>
            <w:tcW w:w="3312" w:type="dxa"/>
            <w:tcBorders>
              <w:top w:val="single" w:color="BFBFBF" w:sz="4" w:space="0"/>
              <w:left w:val="single" w:color="BFBFBF" w:sz="4" w:space="0"/>
              <w:bottom w:val="single" w:color="BFBFBF" w:themeColor="background1" w:themeShade="BF" w:sz="18" w:space="0"/>
              <w:right w:val="nil"/>
            </w:tcBorders>
            <w:shd w:val="clear" w:color="000000" w:fill="DEF1CA"/>
            <w:tcMar>
              <w:top w:w="144" w:type="dxa"/>
              <w:left w:w="173" w:type="dxa"/>
              <w:bottom w:w="144" w:type="dxa"/>
              <w:right w:w="115" w:type="dxa"/>
            </w:tcMar>
            <w:hideMark/>
          </w:tcPr>
          <w:p w:rsidRPr="004616FB" w:rsidR="004616FB" w:rsidP="004616FB" w14:paraId="70168F51" w14:textId="77777777">
            <w:pPr>
              <w:bidi w:val="false"/>
              <w:rPr>
                <w:color w:val="000000"/>
                <w:sz w:val="21"/>
                <w:szCs w:val="21"/>
              </w:rPr>
            </w:pPr>
            <w:r w:rsidRPr="004616FB">
              <w:rPr>
                <w:color w:val="000000"/>
                <w:sz w:val="21"/>
                <w:szCs w:val="21"/>
                <w:lang w:val="German"/>
              </w:rPr>
              <w:t>Planen Sie Besprechungen achtsam.</w:t>
            </w:r>
          </w:p>
        </w:tc>
        <w:tc>
          <w:tcPr>
            <w:tcW w:w="8064" w:type="dxa"/>
            <w:tcBorders>
              <w:top w:val="single" w:color="BFBFBF" w:sz="4" w:space="0"/>
              <w:left w:val="dashed" w:color="BFBFBF" w:sz="4" w:space="0"/>
              <w:bottom w:val="single" w:color="BFBFBF" w:themeColor="background1" w:themeShade="BF" w:sz="18" w:space="0"/>
              <w:right w:val="single" w:color="BFBFBF" w:sz="4" w:space="0"/>
            </w:tcBorders>
            <w:shd w:val="clear" w:color="auto" w:fill="auto"/>
            <w:tcMar>
              <w:top w:w="144" w:type="dxa"/>
              <w:left w:w="173" w:type="dxa"/>
              <w:bottom w:w="144" w:type="dxa"/>
              <w:right w:w="115" w:type="dxa"/>
            </w:tcMar>
            <w:hideMark/>
          </w:tcPr>
          <w:p w:rsidRPr="004616FB" w:rsidR="004616FB" w:rsidP="004616FB" w14:paraId="2C851B97" w14:textId="77777777">
            <w:pPr>
              <w:bidi w:val="false"/>
              <w:rPr>
                <w:color w:val="000000"/>
                <w:sz w:val="21"/>
                <w:szCs w:val="21"/>
              </w:rPr>
            </w:pPr>
            <w:r w:rsidRPr="004616FB">
              <w:rPr>
                <w:color w:val="000000"/>
                <w:sz w:val="21"/>
                <w:szCs w:val="21"/>
                <w:lang w:val="German"/>
              </w:rPr>
              <w:t xml:space="preserve"> </w:t>
            </w:r>
          </w:p>
        </w:tc>
        <w:tc>
          <w:tcPr>
            <w:tcW w:w="3312" w:type="dxa"/>
            <w:tcBorders>
              <w:top w:val="single" w:color="BFBFBF" w:sz="4" w:space="0"/>
              <w:left w:val="nil"/>
              <w:bottom w:val="single" w:color="BFBFBF" w:themeColor="background1" w:themeShade="BF" w:sz="18" w:space="0"/>
              <w:right w:val="single" w:color="BFBFBF" w:themeColor="background1" w:themeShade="BF" w:sz="18" w:space="0"/>
            </w:tcBorders>
            <w:shd w:val="clear" w:color="000000" w:fill="FFF2CC"/>
            <w:tcMar>
              <w:top w:w="144" w:type="dxa"/>
              <w:left w:w="173" w:type="dxa"/>
              <w:bottom w:w="144" w:type="dxa"/>
              <w:right w:w="115" w:type="dxa"/>
            </w:tcMar>
            <w:hideMark/>
          </w:tcPr>
          <w:p w:rsidRPr="004616FB" w:rsidR="004616FB" w:rsidP="004616FB" w14:paraId="098031B9" w14:textId="77777777">
            <w:pPr>
              <w:bidi w:val="false"/>
              <w:rPr>
                <w:color w:val="000000"/>
                <w:sz w:val="21"/>
                <w:szCs w:val="21"/>
              </w:rPr>
            </w:pPr>
            <w:r w:rsidRPr="004616FB">
              <w:rPr>
                <w:color w:val="000000"/>
                <w:sz w:val="21"/>
                <w:szCs w:val="21"/>
                <w:lang w:val="German"/>
              </w:rPr>
              <w:t xml:space="preserve"> </w:t>
            </w:r>
          </w:p>
        </w:tc>
      </w:tr>
    </w:tbl>
    <w:p w:rsidR="004616FB" w:rsidP="006B4529" w14:paraId="1FC0769F" w14:textId="77777777">
      <w:pPr>
        <w:bidi w:val="false"/>
        <w:rPr>
          <w:szCs w:val="20"/>
        </w:rPr>
        <w:sectPr w:rsidSect="004616FB">
          <w:footerReference w:type="even" r:id="rId10"/>
          <w:footerReference w:type="default" r:id="rId11"/>
          <w:pgSz w:w="15840" w:h="12240" w:orient="landscape"/>
          <w:pgMar w:top="576" w:right="576" w:bottom="720" w:left="576" w:header="720" w:footer="518" w:gutter="0"/>
          <w:cols w:space="720"/>
          <w:titlePg/>
          <w:docGrid w:linePitch="360"/>
        </w:sectPr>
      </w:pPr>
    </w:p>
    <w:p w:rsidRPr="00656A22" w:rsidR="00656A22" w:rsidP="00656A22" w14:paraId="35937B31" w14:textId="77777777">
      <w:pPr>
        <w:bidi w:val="false"/>
        <w:rPr>
          <w:rFonts w:ascii="Times New Roman" w:hAnsi="Times New Roman"/>
          <w:sz w:val="24"/>
        </w:rPr>
      </w:pPr>
    </w:p>
    <w:bookmarkEnd w:id="4"/>
    <w:bookmarkEnd w:id="5"/>
    <w:bookmarkEnd w:id="6"/>
    <w:bookmarkEnd w:id="7"/>
    <w:bookmarkEnd w:id="8"/>
    <w:p w:rsidRPr="003D706E" w:rsidR="00C81141" w:rsidP="001032AD" w14:paraId="75E9E0F0"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F93F68" w14:paraId="438308DD"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168"/>
        </w:trPr>
        <w:tc>
          <w:tcPr>
            <w:tcW w:w="10147" w:type="dxa"/>
          </w:tcPr>
          <w:p w:rsidR="00A255C6" w:rsidP="001032AD" w14:paraId="286744BC" w14:textId="77777777">
            <w:pPr>
              <w:bidi w:val="false"/>
              <w:jc w:val="center"/>
              <w:rPr>
                <w:rFonts w:cs="Arial"/>
                <w:b/>
                <w:color w:val="000000" w:themeColor="text1"/>
                <w:sz w:val="20"/>
                <w:szCs w:val="20"/>
              </w:rPr>
            </w:pPr>
          </w:p>
          <w:p w:rsidRPr="003D706E" w:rsidR="00FF51C2" w:rsidP="001032AD" w14:paraId="1CC4A95B"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3FA1BF5B" w14:textId="77777777">
            <w:pPr>
              <w:bidi w:val="false"/>
              <w:spacing w:line="276" w:lineRule="auto"/>
              <w:rPr>
                <w:rFonts w:cs="Arial"/>
                <w:color w:val="000000" w:themeColor="text1"/>
                <w:sz w:val="21"/>
                <w:szCs w:val="18"/>
              </w:rPr>
            </w:pPr>
          </w:p>
          <w:p w:rsidRPr="003D706E" w:rsidR="00FF51C2" w:rsidP="001032AD" w14:paraId="3B36E1D9"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14F7E79F" w14:textId="77777777">
      <w:pPr>
        <w:rPr>
          <w:b/>
          <w:color w:val="000000" w:themeColor="text1"/>
          <w:sz w:val="32"/>
          <w:szCs w:val="44"/>
        </w:rPr>
      </w:pPr>
    </w:p>
    <w:p w:rsidR="00473A9E" w:rsidP="001032AD" w14:paraId="057D705E" w14:textId="77777777">
      <w:pPr>
        <w:rPr>
          <w:b/>
          <w:color w:val="000000" w:themeColor="text1"/>
          <w:sz w:val="32"/>
          <w:szCs w:val="44"/>
        </w:rPr>
      </w:pPr>
    </w:p>
    <w:p w:rsidRPr="003D706E" w:rsidR="00473A9E" w:rsidP="001032AD" w14:paraId="384C8311"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7C894E57"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3A8F6D98"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73329527"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036FF2" w:rsidP="00F36FE0" w14:paraId="7690E1D7"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AC"/>
    <w:rsid w:val="000013C8"/>
    <w:rsid w:val="00016F6D"/>
    <w:rsid w:val="00031AF7"/>
    <w:rsid w:val="000323E9"/>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35FA1"/>
    <w:rsid w:val="0044265D"/>
    <w:rsid w:val="00451C33"/>
    <w:rsid w:val="0045552B"/>
    <w:rsid w:val="004616F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45068"/>
    <w:rsid w:val="00752EDD"/>
    <w:rsid w:val="00756B3B"/>
    <w:rsid w:val="007604F3"/>
    <w:rsid w:val="00774101"/>
    <w:rsid w:val="0078197E"/>
    <w:rsid w:val="00782659"/>
    <w:rsid w:val="00783BAD"/>
    <w:rsid w:val="007940B3"/>
    <w:rsid w:val="007A7401"/>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95136"/>
    <w:rsid w:val="008A38BB"/>
    <w:rsid w:val="008A59FA"/>
    <w:rsid w:val="008B200C"/>
    <w:rsid w:val="008B4152"/>
    <w:rsid w:val="008B5577"/>
    <w:rsid w:val="008B7C7A"/>
    <w:rsid w:val="008C3ED9"/>
    <w:rsid w:val="008F0F82"/>
    <w:rsid w:val="008F73FB"/>
    <w:rsid w:val="008F74B0"/>
    <w:rsid w:val="009016C1"/>
    <w:rsid w:val="009152A8"/>
    <w:rsid w:val="00924FAC"/>
    <w:rsid w:val="00925A7C"/>
    <w:rsid w:val="00942BD8"/>
    <w:rsid w:val="00947233"/>
    <w:rsid w:val="00952AB1"/>
    <w:rsid w:val="009541D8"/>
    <w:rsid w:val="00977EFD"/>
    <w:rsid w:val="00982FC4"/>
    <w:rsid w:val="009855C9"/>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4D8D"/>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F7C60"/>
    <w:rsid w:val="00D022DF"/>
    <w:rsid w:val="00D03F68"/>
    <w:rsid w:val="00D04BD0"/>
    <w:rsid w:val="00D166A3"/>
    <w:rsid w:val="00D2118F"/>
    <w:rsid w:val="00D22A1E"/>
    <w:rsid w:val="00D247D2"/>
    <w:rsid w:val="00D2644E"/>
    <w:rsid w:val="00D26580"/>
    <w:rsid w:val="00D4690E"/>
    <w:rsid w:val="00D53DE2"/>
    <w:rsid w:val="00D60C39"/>
    <w:rsid w:val="00D60F8B"/>
    <w:rsid w:val="00D660EC"/>
    <w:rsid w:val="00D675F4"/>
    <w:rsid w:val="00D82ADF"/>
    <w:rsid w:val="00D90B36"/>
    <w:rsid w:val="00DB11CA"/>
    <w:rsid w:val="00DB1AE1"/>
    <w:rsid w:val="00DC0582"/>
    <w:rsid w:val="00DE1475"/>
    <w:rsid w:val="00E0014C"/>
    <w:rsid w:val="00E06662"/>
    <w:rsid w:val="00E11F52"/>
    <w:rsid w:val="00E1328E"/>
    <w:rsid w:val="00E238AC"/>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62E8F"/>
    <w:rsid w:val="00F7049D"/>
    <w:rsid w:val="00F85E87"/>
    <w:rsid w:val="00F90516"/>
    <w:rsid w:val="00F93F68"/>
    <w:rsid w:val="00FB1580"/>
    <w:rsid w:val="00FB3189"/>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4AF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54&amp;utm_language=DE&amp;utm_source=integrated+content&amp;utm_campaign=/remote-team-communication&amp;utm_medium=ic+remote+communication+dos+and+donts+chart+49354+word+de&amp;lpa=ic+remote+communication+dos+and+donts+chart+49354+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IC-Remote-Communication-Dos-and-Donts-Chart_WORD.dotx</Template>
  <TotalTime>1</TotalTime>
  <Pages>2</Pages>
  <Words>113</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2020-05-29T00:54:00Z</cp:lastPrinted>
  <dcterms:created xsi:type="dcterms:W3CDTF">2020-07-07T17:37:00Z</dcterms:created>
  <dcterms:modified xsi:type="dcterms:W3CDTF">2020-07-07T17:38:00Z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