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2019" w:rsidR="00EC7D2C" w:rsidP="00E82019" w:rsidRDefault="00E82019">
      <w:pPr>
        <w:tabs>
          <w:tab w:val="left" w:pos="7960"/>
        </w:tabs>
        <w:bidi w:val="false"/>
        <w:rPr>
          <w:rFonts w:ascii="Arial" w:hAnsi="Arial" w:eastAsia="Times New Roman" w:cs="Times New Roman"/>
          <w:b/>
          <w:bCs/>
          <w:color w:val="1F3864" w:themeColor="accent5" w:themeShade="80"/>
          <w:sz w:val="44"/>
          <w:szCs w:val="44"/>
        </w:rPr>
      </w:pPr>
      <w:r w:rsidRPr="00E82019">
        <w:rPr>
          <w:rFonts w:ascii="Arial" w:hAnsi="Arial" w:eastAsia="Times New Roman" w:cs="Times New Roman"/>
          <w:b/>
          <w:color w:val="1F3864" w:themeColor="accent5" w:themeShade="80"/>
          <w:sz w:val="44"/>
          <w:szCs w:val="44"/>
          <w:lang w:val="German"/>
        </w:rPr>
        <w:t>PERSÖNLICHE SWOT-ANALYSE</w:t>
      </w:r>
      <w:r w:rsidR="00CC11AC">
        <w:rPr>
          <w:rFonts w:ascii="Arial" w:hAnsi="Arial" w:eastAsia="Times New Roman" w:cs="Times New Roman"/>
          <w:b/>
          <w:color w:val="1F3864" w:themeColor="accent5" w:themeShade="80"/>
          <w:sz w:val="44"/>
          <w:szCs w:val="44"/>
          <w:lang w:val="German"/>
        </w:rPr>
        <w:tab/>
      </w:r>
      <w:r w:rsidR="00CC11AC">
        <w:rPr>
          <w:rFonts w:ascii="Arial" w:hAnsi="Arial" w:eastAsia="Times New Roman" w:cs="Times New Roman"/>
          <w:b/>
          <w:color w:val="1F3864" w:themeColor="accent5" w:themeShade="80"/>
          <w:sz w:val="44"/>
          <w:szCs w:val="44"/>
          <w:lang w:val="German"/>
        </w:rPr>
        <w:tab/>
      </w:r>
      <w:r w:rsidR="00CC11AC">
        <w:rPr>
          <w:rFonts w:ascii="Arial" w:hAnsi="Arial" w:eastAsia="Times New Roman" w:cs="Times New Roman"/>
          <w:b/>
          <w:noProof/>
          <w:color w:val="1F3864" w:themeColor="accent5" w:themeShade="80"/>
          <w:sz w:val="44"/>
          <w:szCs w:val="44"/>
          <w:lang w:val="German"/>
        </w:rPr>
        <w:drawing>
          <wp:inline distT="0" distB="0" distL="0" distR="0" wp14:anchorId="6B36197A" wp14:editId="19AD1CCF">
            <wp:extent cx="2559319" cy="355600"/>
            <wp:effectExtent l="0" t="0" r="0" b="6350"/>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67934" cy="356797"/>
                    </a:xfrm>
                    <a:prstGeom prst="rect">
                      <a:avLst/>
                    </a:prstGeom>
                  </pic:spPr>
                </pic:pic>
              </a:graphicData>
            </a:graphic>
          </wp:inline>
        </w:drawing>
      </w:r>
    </w:p>
    <w:tbl>
      <w:tblPr>
        <w:tblW w:w="14400" w:type="dxa"/>
        <w:tblLook w:val="04A0" w:firstRow="1" w:lastRow="0" w:firstColumn="1" w:lastColumn="0" w:noHBand="0" w:noVBand="1"/>
      </w:tblPr>
      <w:tblGrid>
        <w:gridCol w:w="7200"/>
        <w:gridCol w:w="7200"/>
      </w:tblGrid>
      <w:tr w:rsidRPr="00E82019" w:rsidR="00E82019" w:rsidTr="00E82019">
        <w:trPr>
          <w:trHeight w:val="360"/>
        </w:trPr>
        <w:tc>
          <w:tcPr>
            <w:tcW w:w="14400" w:type="dxa"/>
            <w:gridSpan w:val="2"/>
            <w:tcBorders>
              <w:top w:val="single" w:color="344E6D" w:sz="8" w:space="0"/>
              <w:left w:val="single" w:color="344E6D" w:sz="8" w:space="0"/>
              <w:bottom w:val="single" w:color="344E6D" w:sz="4" w:space="0"/>
              <w:right w:val="single" w:color="344E6D" w:sz="8" w:space="0"/>
            </w:tcBorders>
            <w:shd w:val="clear" w:color="000000" w:fill="344E6D"/>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German"/>
              </w:rPr>
              <w:t>INTERNE FAKTOREN</w:t>
            </w:r>
          </w:p>
        </w:tc>
      </w:tr>
      <w:tr w:rsidRPr="00E82019" w:rsidR="00E82019" w:rsidTr="00E82019">
        <w:trPr>
          <w:trHeight w:val="360"/>
        </w:trPr>
        <w:tc>
          <w:tcPr>
            <w:tcW w:w="7200" w:type="dxa"/>
            <w:tcBorders>
              <w:top w:val="nil"/>
              <w:left w:val="single" w:color="344E6D" w:sz="8" w:space="0"/>
              <w:bottom w:val="single" w:color="344E6D" w:sz="4" w:space="0"/>
              <w:right w:val="single" w:color="344E6D" w:sz="4" w:space="0"/>
            </w:tcBorders>
            <w:shd w:val="clear" w:color="000000" w:fill="809EC2"/>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German"/>
              </w:rPr>
              <w:t>STÄRKEN (+)</w:t>
            </w:r>
          </w:p>
        </w:tc>
        <w:tc>
          <w:tcPr>
            <w:tcW w:w="7200" w:type="dxa"/>
            <w:tcBorders>
              <w:top w:val="nil"/>
              <w:left w:val="nil"/>
              <w:bottom w:val="single" w:color="344E6D" w:sz="4" w:space="0"/>
              <w:right w:val="single" w:color="344E6D" w:sz="8" w:space="0"/>
            </w:tcBorders>
            <w:shd w:val="clear" w:color="000000" w:fill="A5B592"/>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German"/>
              </w:rPr>
              <w:t>SCHWÄCHEN (-)</w:t>
            </w:r>
          </w:p>
        </w:tc>
      </w:tr>
      <w:tr w:rsidRPr="00E82019" w:rsidR="00E82019" w:rsidTr="00E82019">
        <w:trPr>
          <w:trHeight w:val="4166"/>
        </w:trPr>
        <w:tc>
          <w:tcPr>
            <w:tcW w:w="7200" w:type="dxa"/>
            <w:tcBorders>
              <w:top w:val="nil"/>
              <w:left w:val="single" w:color="344E6D" w:sz="8" w:space="0"/>
              <w:bottom w:val="single" w:color="344E6D" w:sz="8" w:space="0"/>
              <w:right w:val="single" w:color="344E6D" w:sz="4" w:space="0"/>
            </w:tcBorders>
            <w:shd w:val="clear" w:color="000000" w:fill="E6EBF2"/>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val="German"/>
              </w:rPr>
              <w:t>Sprechen Sie darüber, worin Sie gut sind, Ihre einzigartigen Vermögenswerte und Ressourcen und wie Ihre positiven Eigenschaften von anderen wahrgenommen werden.</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c>
          <w:tcPr>
            <w:tcW w:w="7200" w:type="dxa"/>
            <w:tcBorders>
              <w:top w:val="nil"/>
              <w:left w:val="nil"/>
              <w:bottom w:val="single" w:color="344E6D" w:sz="8" w:space="0"/>
              <w:right w:val="single" w:color="344E6D" w:sz="8" w:space="0"/>
            </w:tcBorders>
            <w:shd w:val="clear" w:color="000000" w:fill="ECEFE9"/>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val="German"/>
              </w:rPr>
              <w:t>Sprechen Sie über Verbesserungen, die Sie vornehmen müssen, alle Ressourcen, die Ihnen fehlen, und wie diese negativen Attribute von anderen wahrgenommen werden könnten.</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r>
      <w:tr w:rsidRPr="00E82019" w:rsidR="00E82019" w:rsidTr="00E82019">
        <w:trPr>
          <w:trHeight w:val="142"/>
        </w:trPr>
        <w:tc>
          <w:tcPr>
            <w:tcW w:w="7200" w:type="dxa"/>
            <w:tcBorders>
              <w:top w:val="nil"/>
              <w:left w:val="nil"/>
              <w:bottom w:val="nil"/>
              <w:right w:val="nil"/>
            </w:tcBorders>
            <w:shd w:val="clear" w:color="auto" w:fill="auto"/>
            <w:vAlign w:val="center"/>
            <w:hideMark/>
          </w:tcPr>
          <w:p w:rsidRPr="00E82019" w:rsidR="00E82019" w:rsidP="00E82019" w:rsidRDefault="00E82019">
            <w:pPr>
              <w:bidi w:val="false"/>
              <w:rPr>
                <w:rFonts w:ascii="Arial" w:hAnsi="Arial" w:eastAsia="Times New Roman" w:cs="Times New Roman"/>
                <w:color w:val="000000"/>
                <w:sz w:val="18"/>
                <w:szCs w:val="18"/>
              </w:rPr>
            </w:pPr>
          </w:p>
        </w:tc>
        <w:tc>
          <w:tcPr>
            <w:tcW w:w="7200" w:type="dxa"/>
            <w:tcBorders>
              <w:top w:val="nil"/>
              <w:left w:val="nil"/>
              <w:bottom w:val="nil"/>
              <w:right w:val="nil"/>
            </w:tcBorders>
            <w:shd w:val="clear" w:color="auto" w:fill="auto"/>
            <w:vAlign w:val="center"/>
            <w:hideMark/>
          </w:tcPr>
          <w:p w:rsidRPr="00E82019" w:rsidR="00E82019" w:rsidP="00E82019" w:rsidRDefault="00E82019">
            <w:pPr>
              <w:bidi w:val="false"/>
              <w:rPr>
                <w:rFonts w:ascii="Times New Roman" w:hAnsi="Times New Roman" w:eastAsia="Times New Roman" w:cs="Times New Roman"/>
                <w:sz w:val="20"/>
                <w:szCs w:val="20"/>
              </w:rPr>
            </w:pPr>
          </w:p>
        </w:tc>
      </w:tr>
      <w:tr w:rsidRPr="00E82019" w:rsidR="00E82019" w:rsidTr="00E82019">
        <w:trPr>
          <w:trHeight w:val="360"/>
        </w:trPr>
        <w:tc>
          <w:tcPr>
            <w:tcW w:w="14400" w:type="dxa"/>
            <w:gridSpan w:val="2"/>
            <w:tcBorders>
              <w:top w:val="single" w:color="7A620E" w:sz="8" w:space="0"/>
              <w:left w:val="single" w:color="7A620E" w:sz="8" w:space="0"/>
              <w:bottom w:val="single" w:color="7A620E" w:sz="4" w:space="0"/>
              <w:right w:val="single" w:color="7A620E" w:sz="8" w:space="0"/>
            </w:tcBorders>
            <w:shd w:val="clear" w:color="000000" w:fill="94560A"/>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German"/>
              </w:rPr>
              <w:t>EXTERNE FAKTOREN</w:t>
            </w:r>
          </w:p>
        </w:tc>
      </w:tr>
      <w:tr w:rsidRPr="00E82019" w:rsidR="00E82019" w:rsidTr="00E82019">
        <w:trPr>
          <w:trHeight w:val="360"/>
        </w:trPr>
        <w:tc>
          <w:tcPr>
            <w:tcW w:w="7200" w:type="dxa"/>
            <w:tcBorders>
              <w:top w:val="nil"/>
              <w:left w:val="single" w:color="7A620E" w:sz="8" w:space="0"/>
              <w:bottom w:val="single" w:color="7A620E" w:sz="4" w:space="0"/>
              <w:right w:val="single" w:color="7A620E" w:sz="4" w:space="0"/>
            </w:tcBorders>
            <w:shd w:val="clear" w:color="000000" w:fill="DE810E"/>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German"/>
              </w:rPr>
              <w:t>CHANCEN (+)</w:t>
            </w:r>
          </w:p>
        </w:tc>
        <w:tc>
          <w:tcPr>
            <w:tcW w:w="7200" w:type="dxa"/>
            <w:tcBorders>
              <w:top w:val="nil"/>
              <w:left w:val="nil"/>
              <w:bottom w:val="single" w:color="7A620E" w:sz="4" w:space="0"/>
              <w:right w:val="single" w:color="7A620E" w:sz="8" w:space="0"/>
            </w:tcBorders>
            <w:shd w:val="clear" w:color="000000" w:fill="E7BC29"/>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val="German"/>
              </w:rPr>
              <w:t>BEDROHUNGEN (-)</w:t>
            </w:r>
          </w:p>
        </w:tc>
      </w:tr>
      <w:tr w:rsidRPr="00E82019" w:rsidR="00E82019" w:rsidTr="00E82019">
        <w:trPr>
          <w:trHeight w:val="4211"/>
        </w:trPr>
        <w:tc>
          <w:tcPr>
            <w:tcW w:w="7200" w:type="dxa"/>
            <w:tcBorders>
              <w:top w:val="nil"/>
              <w:left w:val="single" w:color="7A620E" w:sz="8" w:space="0"/>
              <w:bottom w:val="single" w:color="7A620E" w:sz="8" w:space="0"/>
              <w:right w:val="single" w:color="7A620E" w:sz="4" w:space="0"/>
            </w:tcBorders>
            <w:shd w:val="clear" w:color="000000" w:fill="FDEDD9"/>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val="German"/>
              </w:rPr>
              <w:t>Listen Sie Türen auf, die Ihnen derzeit offen stehen, Möglichkeiten, die Sie nutzen können, und wie Ihre Stärken neue Verbindungen schaffen können.</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c>
          <w:tcPr>
            <w:tcW w:w="7200" w:type="dxa"/>
            <w:tcBorders>
              <w:top w:val="nil"/>
              <w:left w:val="nil"/>
              <w:bottom w:val="single" w:color="7A620E" w:sz="8" w:space="0"/>
              <w:right w:val="single" w:color="7A620E" w:sz="8" w:space="0"/>
            </w:tcBorders>
            <w:shd w:val="clear" w:color="000000" w:fill="FAF1D3"/>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val="German"/>
              </w:rPr>
              <w:t>Listen Sie alle schädlichen Gefahren, Konkurrenten und wie bekannte Schwachstellen die Tür zu Bedrohungen öffnen können.</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r>
    </w:tbl>
    <w:tbl>
      <w:tblPr>
        <w:tblStyle w:val="TableGrid"/>
        <w:tblW w:w="134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410"/>
      </w:tblGrid>
      <w:tr w:rsidRPr="00FF18F5" w:rsidR="00CC11AC" w:rsidTr="00CC11AC">
        <w:trPr>
          <w:trHeight w:val="2826"/>
        </w:trPr>
        <w:tc>
          <w:tcPr>
            <w:tcW w:w="13410" w:type="dxa"/>
          </w:tcPr>
          <w:p w:rsidRPr="00FF18F5" w:rsidR="00CC11AC" w:rsidP="000628CB" w:rsidRDefault="00CC11AC">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CC11AC" w:rsidP="000628CB" w:rsidRDefault="00CC11AC">
            <w:pPr>
              <w:bidi w:val="false"/>
              <w:rPr>
                <w:rFonts w:ascii="Century Gothic" w:hAnsi="Century Gothic" w:cs="Arial"/>
                <w:szCs w:val="20"/>
              </w:rPr>
            </w:pPr>
          </w:p>
          <w:p w:rsidRPr="00FF18F5" w:rsidR="00CC11AC" w:rsidP="000628CB" w:rsidRDefault="00CC11AC">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CC11AC" w:rsidP="00CC11AC" w:rsidRDefault="00CC11AC">
      <w:pPr>
        <w:rPr>
          <w:rFonts w:ascii="Century Gothic" w:hAnsi="Century Gothic"/>
        </w:rPr>
      </w:pPr>
    </w:p>
    <w:p w:rsidR="00CC11AC" w:rsidP="00CC11AC" w:rsidRDefault="00CC11AC">
      <w:pPr>
        <w:rPr>
          <w:rFonts w:ascii="Century Gothic" w:hAnsi="Century Gothic"/>
        </w:rPr>
      </w:pPr>
    </w:p>
    <w:p w:rsidRPr="00E82019" w:rsidR="00E82019" w:rsidP="00FF4B71" w:rsidRDefault="00E82019">
      <w:pPr>
        <w:rPr>
          <w:rFonts w:ascii="Arial" w:hAnsi="Arial" w:eastAsia="Times New Roman" w:cs="Times New Roman"/>
          <w:b/>
          <w:bCs/>
          <w:color w:val="385623" w:themeColor="accent6" w:themeShade="80"/>
          <w:sz w:val="44"/>
          <w:szCs w:val="44"/>
        </w:rPr>
      </w:pPr>
    </w:p>
    <w:sectPr w:rsidRPr="00E82019" w:rsidR="00E82019" w:rsidSect="00A951B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A8"/>
    <w:rsid w:val="00456F40"/>
    <w:rsid w:val="00471C74"/>
    <w:rsid w:val="004937B7"/>
    <w:rsid w:val="00A951BD"/>
    <w:rsid w:val="00A97CA8"/>
    <w:rsid w:val="00CC11AC"/>
    <w:rsid w:val="00D637CF"/>
    <w:rsid w:val="00E82019"/>
    <w:rsid w:val="00F713B8"/>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C387"/>
  <w15:chartTrackingRefBased/>
  <w15:docId w15:val="{BF9871AE-D9BC-44C5-9386-210EE67B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CC11AC"/>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758865279">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1576011578">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062&amp;utm_language=DE&amp;utm_source=integrated+content&amp;utm_campaign=/14-free-swot-analysis-templates&amp;utm_medium=ic+personal+swot+analysis+49062+word+de&amp;lpa=ic+personal+swot+analysis+49062+word+de&amp;lx=jazGWVt6qlFVesJIxmZmq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ersonal-SWOT-Analysis-862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IC-Personal-SWOT-Analysis-8629_Word.dotx</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2022-02-09T00:40:00Z</dcterms:created>
  <dcterms:modified xsi:type="dcterms:W3CDTF">2022-02-09T00:40:00Z</dcterms:modified>
</cp:coreProperties>
</file>